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10C3" w:rsidRPr="00835DC8" w:rsidRDefault="00687A2C" w:rsidP="00687A2C">
      <w:pPr>
        <w:spacing w:after="0"/>
        <w:rPr>
          <w:color w:val="365F91" w:themeColor="accent1" w:themeShade="BF"/>
          <w:sz w:val="36"/>
          <w:szCs w:val="36"/>
        </w:rPr>
      </w:pPr>
      <w:r w:rsidRPr="00835DC8">
        <w:rPr>
          <w:color w:val="365F91" w:themeColor="accent1" w:themeShade="BF"/>
          <w:sz w:val="36"/>
          <w:szCs w:val="36"/>
        </w:rPr>
        <w:t>Sussex Partnership NHS Foundation Trust</w:t>
      </w:r>
    </w:p>
    <w:p w:rsidR="00687A2C" w:rsidRPr="00835DC8" w:rsidRDefault="00687A2C" w:rsidP="00687A2C">
      <w:pPr>
        <w:spacing w:after="0"/>
        <w:rPr>
          <w:color w:val="365F91" w:themeColor="accent1" w:themeShade="BF"/>
          <w:sz w:val="36"/>
          <w:szCs w:val="36"/>
        </w:rPr>
      </w:pPr>
      <w:r w:rsidRPr="00835DC8">
        <w:rPr>
          <w:color w:val="365F91" w:themeColor="accent1" w:themeShade="BF"/>
          <w:sz w:val="36"/>
          <w:szCs w:val="36"/>
        </w:rPr>
        <w:t>Workforce Race Equality Standard Report 2022</w:t>
      </w:r>
    </w:p>
    <w:p w:rsidR="00687A2C" w:rsidRPr="00835DC8" w:rsidRDefault="00687A2C" w:rsidP="00687A2C">
      <w:pPr>
        <w:spacing w:after="0"/>
        <w:rPr>
          <w:color w:val="365F91" w:themeColor="accent1" w:themeShade="BF"/>
          <w:sz w:val="28"/>
          <w:szCs w:val="28"/>
        </w:rPr>
      </w:pPr>
    </w:p>
    <w:p w:rsidR="00A30435" w:rsidRPr="00835DC8" w:rsidRDefault="00A30435" w:rsidP="00687A2C">
      <w:pPr>
        <w:spacing w:after="0"/>
        <w:rPr>
          <w:color w:val="365F91" w:themeColor="accent1" w:themeShade="BF"/>
          <w:sz w:val="36"/>
          <w:szCs w:val="36"/>
        </w:rPr>
      </w:pPr>
      <w:r w:rsidRPr="00835DC8">
        <w:rPr>
          <w:color w:val="365F91" w:themeColor="accent1" w:themeShade="BF"/>
          <w:sz w:val="36"/>
          <w:szCs w:val="36"/>
        </w:rPr>
        <w:t>Introduction</w:t>
      </w:r>
    </w:p>
    <w:p w:rsidR="00A30435" w:rsidRPr="00835DC8" w:rsidRDefault="00A30435" w:rsidP="001A115B">
      <w:pPr>
        <w:spacing w:after="0"/>
        <w:rPr>
          <w:color w:val="365F91" w:themeColor="accent1" w:themeShade="BF"/>
          <w:sz w:val="24"/>
          <w:szCs w:val="24"/>
        </w:rPr>
      </w:pPr>
      <w:r w:rsidRPr="00835DC8">
        <w:rPr>
          <w:color w:val="365F91" w:themeColor="accent1" w:themeShade="BF"/>
          <w:sz w:val="24"/>
          <w:szCs w:val="24"/>
        </w:rPr>
        <w:t>The Workforce Race Equality Standard (WRES) was introduced in 2015 to help NHS organisations, and other organisations providing NHS services, improve their workforce race equality performance</w:t>
      </w:r>
      <w:r w:rsidR="009140FF" w:rsidRPr="00835DC8">
        <w:rPr>
          <w:color w:val="365F91" w:themeColor="accent1" w:themeShade="BF"/>
          <w:sz w:val="24"/>
          <w:szCs w:val="24"/>
        </w:rPr>
        <w:t xml:space="preserve">. </w:t>
      </w:r>
    </w:p>
    <w:p w:rsidR="001A115B" w:rsidRPr="00835DC8" w:rsidRDefault="001A115B" w:rsidP="001A115B">
      <w:pPr>
        <w:spacing w:after="0"/>
        <w:rPr>
          <w:color w:val="365F91" w:themeColor="accent1" w:themeShade="BF"/>
          <w:sz w:val="24"/>
          <w:szCs w:val="24"/>
        </w:rPr>
      </w:pPr>
    </w:p>
    <w:p w:rsidR="009140FF" w:rsidRPr="00835DC8" w:rsidRDefault="009140FF" w:rsidP="001A115B">
      <w:pPr>
        <w:spacing w:after="0"/>
        <w:rPr>
          <w:color w:val="365F91" w:themeColor="accent1" w:themeShade="BF"/>
          <w:sz w:val="24"/>
          <w:szCs w:val="24"/>
        </w:rPr>
      </w:pPr>
      <w:r w:rsidRPr="00835DC8">
        <w:rPr>
          <w:color w:val="365F91" w:themeColor="accent1" w:themeShade="BF"/>
          <w:sz w:val="24"/>
          <w:szCs w:val="24"/>
        </w:rPr>
        <w:t>As an NHS Trust, we publish our workforce data, reviewed against the nine indicators of the WRES, on an annual basis. This report is published alongside our WRES action plan, which is designed to help us close the gaps in workplace experience between our white staff and our staff from ethnic minority groups (referred to as BME staff within the WRES).</w:t>
      </w:r>
    </w:p>
    <w:p w:rsidR="00F85944" w:rsidRPr="00835DC8" w:rsidRDefault="00F85944" w:rsidP="00F85944">
      <w:pPr>
        <w:spacing w:after="0"/>
        <w:rPr>
          <w:color w:val="365F91" w:themeColor="accent1" w:themeShade="BF"/>
          <w:sz w:val="24"/>
          <w:szCs w:val="24"/>
        </w:rPr>
      </w:pPr>
    </w:p>
    <w:p w:rsidR="00F85944" w:rsidRPr="00835DC8" w:rsidRDefault="00F85944" w:rsidP="00F85944">
      <w:pPr>
        <w:spacing w:after="0"/>
        <w:rPr>
          <w:color w:val="365F91" w:themeColor="accent1" w:themeShade="BF"/>
          <w:sz w:val="36"/>
          <w:szCs w:val="36"/>
        </w:rPr>
      </w:pPr>
      <w:r w:rsidRPr="00835DC8">
        <w:rPr>
          <w:color w:val="365F91" w:themeColor="accent1" w:themeShade="BF"/>
          <w:sz w:val="36"/>
          <w:szCs w:val="36"/>
        </w:rPr>
        <w:t>Definitions of ethnicity</w:t>
      </w:r>
    </w:p>
    <w:p w:rsidR="00F85944" w:rsidRPr="00835DC8" w:rsidRDefault="00F85944" w:rsidP="001A115B">
      <w:pPr>
        <w:spacing w:after="0"/>
        <w:rPr>
          <w:color w:val="365F91" w:themeColor="accent1" w:themeShade="BF"/>
          <w:sz w:val="24"/>
          <w:szCs w:val="24"/>
        </w:rPr>
      </w:pPr>
      <w:r w:rsidRPr="00835DC8">
        <w:rPr>
          <w:color w:val="365F91" w:themeColor="accent1" w:themeShade="BF"/>
          <w:sz w:val="24"/>
          <w:szCs w:val="24"/>
        </w:rPr>
        <w:t xml:space="preserve">The definitions of </w:t>
      </w:r>
      <w:r w:rsidR="000C2F61" w:rsidRPr="00835DC8">
        <w:rPr>
          <w:color w:val="365F91" w:themeColor="accent1" w:themeShade="BF"/>
          <w:sz w:val="24"/>
          <w:szCs w:val="24"/>
        </w:rPr>
        <w:t>"</w:t>
      </w:r>
      <w:r w:rsidRPr="00835DC8">
        <w:rPr>
          <w:color w:val="365F91" w:themeColor="accent1" w:themeShade="BF"/>
          <w:sz w:val="24"/>
          <w:szCs w:val="24"/>
        </w:rPr>
        <w:t>BME</w:t>
      </w:r>
      <w:r w:rsidR="000C2F61" w:rsidRPr="00835DC8">
        <w:rPr>
          <w:color w:val="365F91" w:themeColor="accent1" w:themeShade="BF"/>
          <w:sz w:val="24"/>
          <w:szCs w:val="24"/>
        </w:rPr>
        <w:t>"</w:t>
      </w:r>
      <w:r w:rsidRPr="00835DC8">
        <w:rPr>
          <w:color w:val="365F91" w:themeColor="accent1" w:themeShade="BF"/>
          <w:sz w:val="24"/>
          <w:szCs w:val="24"/>
        </w:rPr>
        <w:t xml:space="preserve"> and </w:t>
      </w:r>
      <w:r w:rsidR="000C2F61" w:rsidRPr="00835DC8">
        <w:rPr>
          <w:color w:val="365F91" w:themeColor="accent1" w:themeShade="BF"/>
          <w:sz w:val="24"/>
          <w:szCs w:val="24"/>
        </w:rPr>
        <w:t>"</w:t>
      </w:r>
      <w:r w:rsidRPr="00835DC8">
        <w:rPr>
          <w:color w:val="365F91" w:themeColor="accent1" w:themeShade="BF"/>
          <w:sz w:val="24"/>
          <w:szCs w:val="24"/>
        </w:rPr>
        <w:t>white</w:t>
      </w:r>
      <w:r w:rsidR="000C2F61" w:rsidRPr="00835DC8">
        <w:rPr>
          <w:color w:val="365F91" w:themeColor="accent1" w:themeShade="BF"/>
          <w:sz w:val="24"/>
          <w:szCs w:val="24"/>
        </w:rPr>
        <w:t>"</w:t>
      </w:r>
      <w:r w:rsidRPr="00835DC8">
        <w:rPr>
          <w:color w:val="365F91" w:themeColor="accent1" w:themeShade="BF"/>
          <w:sz w:val="24"/>
          <w:szCs w:val="24"/>
        </w:rPr>
        <w:t xml:space="preserve"> used in the WRES follow the national reporting requirements of ethnic categories in the NHS data model and dictionary, and are as used in NHS Digital data. The definitions are based on the Office for National Statistics (ONS) 2001 Census categories, listed below; "white" is A-C</w:t>
      </w:r>
      <w:r w:rsidR="002405D2" w:rsidRPr="00835DC8">
        <w:rPr>
          <w:color w:val="365F91" w:themeColor="accent1" w:themeShade="BF"/>
          <w:sz w:val="24"/>
          <w:szCs w:val="24"/>
        </w:rPr>
        <w:t xml:space="preserve"> and</w:t>
      </w:r>
      <w:r w:rsidRPr="00835DC8">
        <w:rPr>
          <w:color w:val="365F91" w:themeColor="accent1" w:themeShade="BF"/>
          <w:sz w:val="24"/>
          <w:szCs w:val="24"/>
        </w:rPr>
        <w:t xml:space="preserve"> "BME" is D-S</w:t>
      </w:r>
      <w:r w:rsidR="002405D2" w:rsidRPr="00835DC8">
        <w:rPr>
          <w:color w:val="365F91" w:themeColor="accent1" w:themeShade="BF"/>
          <w:sz w:val="24"/>
          <w:szCs w:val="24"/>
        </w:rPr>
        <w:t>. Any staff listed as "</w:t>
      </w:r>
      <w:r w:rsidRPr="00835DC8">
        <w:rPr>
          <w:color w:val="365F91" w:themeColor="accent1" w:themeShade="BF"/>
          <w:sz w:val="24"/>
          <w:szCs w:val="24"/>
        </w:rPr>
        <w:t>Z</w:t>
      </w:r>
      <w:r w:rsidR="002405D2" w:rsidRPr="00835DC8">
        <w:rPr>
          <w:color w:val="365F91" w:themeColor="accent1" w:themeShade="BF"/>
          <w:sz w:val="24"/>
          <w:szCs w:val="24"/>
        </w:rPr>
        <w:t xml:space="preserve"> </w:t>
      </w:r>
      <w:r w:rsidR="002405D2" w:rsidRPr="00835DC8">
        <w:rPr>
          <w:color w:val="365F91" w:themeColor="accent1" w:themeShade="BF"/>
          <w:sz w:val="24"/>
          <w:szCs w:val="24"/>
        </w:rPr>
        <w:softHyphen/>
        <w:t>– not stated" are excluded from the analysis.</w:t>
      </w:r>
      <w:r w:rsidRPr="00835DC8">
        <w:rPr>
          <w:color w:val="365F91" w:themeColor="accent1" w:themeShade="BF"/>
          <w:sz w:val="24"/>
          <w:szCs w:val="24"/>
        </w:rPr>
        <w:t xml:space="preserve"> </w:t>
      </w:r>
    </w:p>
    <w:p w:rsidR="00F85944" w:rsidRPr="00835DC8" w:rsidRDefault="00F85944" w:rsidP="00F85944">
      <w:pPr>
        <w:spacing w:after="0"/>
        <w:rPr>
          <w:color w:val="365F91" w:themeColor="accent1" w:themeShade="BF"/>
          <w:sz w:val="24"/>
          <w:szCs w:val="24"/>
        </w:rPr>
      </w:pP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hd w:val="clear" w:color="auto" w:fill="F2F2F2" w:themeFill="background1" w:themeFillShade="F2"/>
        <w:spacing w:after="0"/>
        <w:rPr>
          <w:color w:val="365F91" w:themeColor="accent1" w:themeShade="BF"/>
          <w:sz w:val="24"/>
          <w:szCs w:val="24"/>
        </w:rPr>
      </w:pPr>
      <w:r w:rsidRPr="00835DC8">
        <w:rPr>
          <w:color w:val="365F91" w:themeColor="accent1" w:themeShade="BF"/>
          <w:sz w:val="24"/>
          <w:szCs w:val="24"/>
        </w:rPr>
        <w:t>Ethnic categories 2001</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A – </w:t>
      </w:r>
      <w:r w:rsidR="00D371BC" w:rsidRPr="00835DC8">
        <w:rPr>
          <w:color w:val="365F91" w:themeColor="accent1" w:themeShade="BF"/>
          <w:sz w:val="24"/>
          <w:szCs w:val="24"/>
        </w:rPr>
        <w:t>w</w:t>
      </w:r>
      <w:r w:rsidRPr="00835DC8">
        <w:rPr>
          <w:color w:val="365F91" w:themeColor="accent1" w:themeShade="BF"/>
          <w:sz w:val="24"/>
          <w:szCs w:val="24"/>
        </w:rPr>
        <w:t>hite – British</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B – </w:t>
      </w:r>
      <w:r w:rsidR="00D371BC" w:rsidRPr="00835DC8">
        <w:rPr>
          <w:color w:val="365F91" w:themeColor="accent1" w:themeShade="BF"/>
          <w:sz w:val="24"/>
          <w:szCs w:val="24"/>
        </w:rPr>
        <w:t>w</w:t>
      </w:r>
      <w:r w:rsidRPr="00835DC8">
        <w:rPr>
          <w:color w:val="365F91" w:themeColor="accent1" w:themeShade="BF"/>
          <w:sz w:val="24"/>
          <w:szCs w:val="24"/>
        </w:rPr>
        <w:t>hite – Irish</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C – </w:t>
      </w:r>
      <w:r w:rsidR="00D371BC" w:rsidRPr="00835DC8">
        <w:rPr>
          <w:color w:val="365F91" w:themeColor="accent1" w:themeShade="BF"/>
          <w:sz w:val="24"/>
          <w:szCs w:val="24"/>
        </w:rPr>
        <w:t>a</w:t>
      </w:r>
      <w:r w:rsidRPr="00835DC8">
        <w:rPr>
          <w:color w:val="365F91" w:themeColor="accent1" w:themeShade="BF"/>
          <w:sz w:val="24"/>
          <w:szCs w:val="24"/>
        </w:rPr>
        <w:t>ny other white background</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D – </w:t>
      </w:r>
      <w:r w:rsidR="00D371BC" w:rsidRPr="00835DC8">
        <w:rPr>
          <w:color w:val="365F91" w:themeColor="accent1" w:themeShade="BF"/>
          <w:sz w:val="24"/>
          <w:szCs w:val="24"/>
        </w:rPr>
        <w:t>m</w:t>
      </w:r>
      <w:r w:rsidRPr="00835DC8">
        <w:rPr>
          <w:color w:val="365F91" w:themeColor="accent1" w:themeShade="BF"/>
          <w:sz w:val="24"/>
          <w:szCs w:val="24"/>
        </w:rPr>
        <w:t>ixed white and Black Caribbean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E – </w:t>
      </w:r>
      <w:r w:rsidR="00D371BC" w:rsidRPr="00835DC8">
        <w:rPr>
          <w:color w:val="365F91" w:themeColor="accent1" w:themeShade="BF"/>
          <w:sz w:val="24"/>
          <w:szCs w:val="24"/>
        </w:rPr>
        <w:t>m</w:t>
      </w:r>
      <w:r w:rsidRPr="00835DC8">
        <w:rPr>
          <w:color w:val="365F91" w:themeColor="accent1" w:themeShade="BF"/>
          <w:sz w:val="24"/>
          <w:szCs w:val="24"/>
        </w:rPr>
        <w:t>ixed white and Black African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F – </w:t>
      </w:r>
      <w:r w:rsidR="00D371BC" w:rsidRPr="00835DC8">
        <w:rPr>
          <w:color w:val="365F91" w:themeColor="accent1" w:themeShade="BF"/>
          <w:sz w:val="24"/>
          <w:szCs w:val="24"/>
        </w:rPr>
        <w:t>m</w:t>
      </w:r>
      <w:r w:rsidRPr="00835DC8">
        <w:rPr>
          <w:color w:val="365F91" w:themeColor="accent1" w:themeShade="BF"/>
          <w:sz w:val="24"/>
          <w:szCs w:val="24"/>
        </w:rPr>
        <w:t>ixed white and Asian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G – </w:t>
      </w:r>
      <w:r w:rsidR="00D371BC" w:rsidRPr="00835DC8">
        <w:rPr>
          <w:color w:val="365F91" w:themeColor="accent1" w:themeShade="BF"/>
          <w:sz w:val="24"/>
          <w:szCs w:val="24"/>
        </w:rPr>
        <w:t>a</w:t>
      </w:r>
      <w:r w:rsidRPr="00835DC8">
        <w:rPr>
          <w:color w:val="365F91" w:themeColor="accent1" w:themeShade="BF"/>
          <w:sz w:val="24"/>
          <w:szCs w:val="24"/>
        </w:rPr>
        <w:t>ny other mixed background</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H – Asian or Asian British –</w:t>
      </w:r>
      <w:r w:rsidR="00D371BC" w:rsidRPr="00835DC8">
        <w:rPr>
          <w:color w:val="365F91" w:themeColor="accent1" w:themeShade="BF"/>
          <w:sz w:val="24"/>
          <w:szCs w:val="24"/>
        </w:rPr>
        <w:t xml:space="preserve"> </w:t>
      </w:r>
      <w:r w:rsidRPr="00835DC8">
        <w:rPr>
          <w:color w:val="365F91" w:themeColor="accent1" w:themeShade="BF"/>
          <w:sz w:val="24"/>
          <w:szCs w:val="24"/>
        </w:rPr>
        <w:t>Indian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J – Asian or Asian British –</w:t>
      </w:r>
      <w:r w:rsidR="00D371BC" w:rsidRPr="00835DC8">
        <w:rPr>
          <w:color w:val="365F91" w:themeColor="accent1" w:themeShade="BF"/>
          <w:sz w:val="24"/>
          <w:szCs w:val="24"/>
        </w:rPr>
        <w:t xml:space="preserve"> </w:t>
      </w:r>
      <w:r w:rsidRPr="00835DC8">
        <w:rPr>
          <w:color w:val="365F91" w:themeColor="accent1" w:themeShade="BF"/>
          <w:sz w:val="24"/>
          <w:szCs w:val="24"/>
        </w:rPr>
        <w:t>Pakistani</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K – Asian or Asian British – Bangladeshi</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L – </w:t>
      </w:r>
      <w:r w:rsidR="00D371BC" w:rsidRPr="00835DC8">
        <w:rPr>
          <w:color w:val="365F91" w:themeColor="accent1" w:themeShade="BF"/>
          <w:sz w:val="24"/>
          <w:szCs w:val="24"/>
        </w:rPr>
        <w:t>a</w:t>
      </w:r>
      <w:r w:rsidRPr="00835DC8">
        <w:rPr>
          <w:color w:val="365F91" w:themeColor="accent1" w:themeShade="BF"/>
          <w:sz w:val="24"/>
          <w:szCs w:val="24"/>
        </w:rPr>
        <w:t>ny other Asian background</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M – Black or Black British – Caribbean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N – Black or Black British – African</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 xml:space="preserve">P – </w:t>
      </w:r>
      <w:r w:rsidR="00D371BC" w:rsidRPr="00835DC8">
        <w:rPr>
          <w:color w:val="365F91" w:themeColor="accent1" w:themeShade="BF"/>
          <w:sz w:val="24"/>
          <w:szCs w:val="24"/>
        </w:rPr>
        <w:t>a</w:t>
      </w:r>
      <w:r w:rsidRPr="00835DC8">
        <w:rPr>
          <w:color w:val="365F91" w:themeColor="accent1" w:themeShade="BF"/>
          <w:sz w:val="24"/>
          <w:szCs w:val="24"/>
        </w:rPr>
        <w:t>ny other Black background</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R – Chinese</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lastRenderedPageBreak/>
        <w:t xml:space="preserve">S – </w:t>
      </w:r>
      <w:r w:rsidR="00D371BC" w:rsidRPr="00835DC8">
        <w:rPr>
          <w:color w:val="365F91" w:themeColor="accent1" w:themeShade="BF"/>
          <w:sz w:val="24"/>
          <w:szCs w:val="24"/>
        </w:rPr>
        <w:t>a</w:t>
      </w:r>
      <w:r w:rsidRPr="00835DC8">
        <w:rPr>
          <w:color w:val="365F91" w:themeColor="accent1" w:themeShade="BF"/>
          <w:sz w:val="24"/>
          <w:szCs w:val="24"/>
        </w:rPr>
        <w:t>ny other ethnic group</w:t>
      </w:r>
    </w:p>
    <w:p w:rsidR="00F85944" w:rsidRPr="00835DC8" w:rsidRDefault="00F85944" w:rsidP="009F782A">
      <w:pPr>
        <w:pBdr>
          <w:top w:val="single" w:sz="4" w:space="1" w:color="auto"/>
          <w:left w:val="single" w:sz="4" w:space="0" w:color="auto"/>
          <w:bottom w:val="single" w:sz="4" w:space="1" w:color="auto"/>
          <w:right w:val="single" w:sz="4" w:space="0" w:color="auto"/>
          <w:between w:val="single" w:sz="4" w:space="1" w:color="auto"/>
          <w:bar w:val="single" w:sz="4" w:color="auto"/>
        </w:pBdr>
        <w:spacing w:after="0"/>
        <w:rPr>
          <w:color w:val="365F91" w:themeColor="accent1" w:themeShade="BF"/>
          <w:sz w:val="24"/>
          <w:szCs w:val="24"/>
        </w:rPr>
      </w:pPr>
      <w:r w:rsidRPr="00835DC8">
        <w:rPr>
          <w:color w:val="365F91" w:themeColor="accent1" w:themeShade="BF"/>
          <w:sz w:val="24"/>
          <w:szCs w:val="24"/>
        </w:rPr>
        <w:t>Z – not stated</w:t>
      </w:r>
    </w:p>
    <w:p w:rsidR="00F85944" w:rsidRPr="00835DC8" w:rsidRDefault="00F85944" w:rsidP="00F85944">
      <w:pPr>
        <w:spacing w:after="0"/>
        <w:rPr>
          <w:color w:val="365F91" w:themeColor="accent1" w:themeShade="BF"/>
          <w:sz w:val="24"/>
          <w:szCs w:val="24"/>
        </w:rPr>
      </w:pPr>
    </w:p>
    <w:p w:rsidR="002405D2" w:rsidRPr="00835DC8" w:rsidRDefault="000F00AD" w:rsidP="00F85944">
      <w:pPr>
        <w:spacing w:after="0"/>
        <w:rPr>
          <w:color w:val="365F91" w:themeColor="accent1" w:themeShade="BF"/>
          <w:sz w:val="36"/>
          <w:szCs w:val="36"/>
        </w:rPr>
      </w:pPr>
      <w:r w:rsidRPr="00835DC8">
        <w:rPr>
          <w:color w:val="365F91" w:themeColor="accent1" w:themeShade="BF"/>
          <w:sz w:val="36"/>
          <w:szCs w:val="36"/>
        </w:rPr>
        <w:t>Indicator 1</w:t>
      </w:r>
    </w:p>
    <w:p w:rsidR="000F00AD" w:rsidRPr="00835DC8" w:rsidRDefault="000F00AD" w:rsidP="000F00AD">
      <w:pPr>
        <w:spacing w:after="0"/>
        <w:rPr>
          <w:color w:val="365F91" w:themeColor="accent1" w:themeShade="BF"/>
          <w:sz w:val="24"/>
          <w:szCs w:val="24"/>
        </w:rPr>
      </w:pPr>
      <w:r w:rsidRPr="00835DC8">
        <w:rPr>
          <w:color w:val="365F91" w:themeColor="accent1" w:themeShade="BF"/>
          <w:sz w:val="24"/>
          <w:szCs w:val="24"/>
        </w:rPr>
        <w:t xml:space="preserve">Percentage of staff in each of the </w:t>
      </w:r>
      <w:r w:rsidR="00C844D9" w:rsidRPr="00835DC8">
        <w:rPr>
          <w:color w:val="365F91" w:themeColor="accent1" w:themeShade="BF"/>
          <w:sz w:val="24"/>
          <w:szCs w:val="24"/>
        </w:rPr>
        <w:t>Agenda for Change (</w:t>
      </w:r>
      <w:r w:rsidRPr="00835DC8">
        <w:rPr>
          <w:color w:val="365F91" w:themeColor="accent1" w:themeShade="BF"/>
          <w:sz w:val="24"/>
          <w:szCs w:val="24"/>
        </w:rPr>
        <w:t>AfC</w:t>
      </w:r>
      <w:r w:rsidR="00C844D9" w:rsidRPr="00835DC8">
        <w:rPr>
          <w:color w:val="365F91" w:themeColor="accent1" w:themeShade="BF"/>
          <w:sz w:val="24"/>
          <w:szCs w:val="24"/>
        </w:rPr>
        <w:t>)</w:t>
      </w:r>
      <w:r w:rsidRPr="00835DC8">
        <w:rPr>
          <w:color w:val="365F91" w:themeColor="accent1" w:themeShade="BF"/>
          <w:sz w:val="24"/>
          <w:szCs w:val="24"/>
        </w:rPr>
        <w:t xml:space="preserve"> </w:t>
      </w:r>
      <w:r w:rsidR="00D371BC" w:rsidRPr="00835DC8">
        <w:rPr>
          <w:color w:val="365F91" w:themeColor="accent1" w:themeShade="BF"/>
          <w:sz w:val="24"/>
          <w:szCs w:val="24"/>
        </w:rPr>
        <w:t>b</w:t>
      </w:r>
      <w:r w:rsidRPr="00835DC8">
        <w:rPr>
          <w:color w:val="365F91" w:themeColor="accent1" w:themeShade="BF"/>
          <w:sz w:val="24"/>
          <w:szCs w:val="24"/>
        </w:rPr>
        <w:t>ands 1-9 or Medical and Dental</w:t>
      </w:r>
      <w:r w:rsidR="00C844D9" w:rsidRPr="00835DC8">
        <w:rPr>
          <w:color w:val="365F91" w:themeColor="accent1" w:themeShade="BF"/>
          <w:sz w:val="24"/>
          <w:szCs w:val="24"/>
        </w:rPr>
        <w:t xml:space="preserve"> </w:t>
      </w:r>
      <w:r w:rsidRPr="00835DC8">
        <w:rPr>
          <w:color w:val="365F91" w:themeColor="accent1" w:themeShade="BF"/>
          <w:sz w:val="24"/>
          <w:szCs w:val="24"/>
        </w:rPr>
        <w:t xml:space="preserve">subgroups and </w:t>
      </w:r>
      <w:r w:rsidR="00C844D9" w:rsidRPr="00835DC8">
        <w:rPr>
          <w:color w:val="365F91" w:themeColor="accent1" w:themeShade="BF"/>
          <w:sz w:val="24"/>
          <w:szCs w:val="24"/>
        </w:rPr>
        <w:t>Very Senior Managers (</w:t>
      </w:r>
      <w:r w:rsidRPr="00835DC8">
        <w:rPr>
          <w:color w:val="365F91" w:themeColor="accent1" w:themeShade="BF"/>
          <w:sz w:val="24"/>
          <w:szCs w:val="24"/>
        </w:rPr>
        <w:t>VSM</w:t>
      </w:r>
      <w:r w:rsidR="00C844D9" w:rsidRPr="00835DC8">
        <w:rPr>
          <w:color w:val="365F91" w:themeColor="accent1" w:themeShade="BF"/>
          <w:sz w:val="24"/>
          <w:szCs w:val="24"/>
        </w:rPr>
        <w:t>)</w:t>
      </w:r>
      <w:r w:rsidRPr="00835DC8">
        <w:rPr>
          <w:color w:val="365F91" w:themeColor="accent1" w:themeShade="BF"/>
          <w:sz w:val="24"/>
          <w:szCs w:val="24"/>
        </w:rPr>
        <w:t xml:space="preserve"> (including executive Board members) compared with the</w:t>
      </w:r>
      <w:r w:rsidR="00C844D9" w:rsidRPr="00835DC8">
        <w:rPr>
          <w:color w:val="365F91" w:themeColor="accent1" w:themeShade="BF"/>
          <w:sz w:val="24"/>
          <w:szCs w:val="24"/>
        </w:rPr>
        <w:t xml:space="preserve"> </w:t>
      </w:r>
      <w:r w:rsidRPr="00835DC8">
        <w:rPr>
          <w:color w:val="365F91" w:themeColor="accent1" w:themeShade="BF"/>
          <w:sz w:val="24"/>
          <w:szCs w:val="24"/>
        </w:rPr>
        <w:t>percentage of staff in the overall workforce disaggregated by:</w:t>
      </w:r>
    </w:p>
    <w:p w:rsidR="001A115B" w:rsidRPr="00835DC8" w:rsidRDefault="001A115B" w:rsidP="000F00AD">
      <w:pPr>
        <w:spacing w:after="0"/>
        <w:rPr>
          <w:color w:val="365F91" w:themeColor="accent1" w:themeShade="BF"/>
          <w:sz w:val="24"/>
          <w:szCs w:val="24"/>
        </w:rPr>
      </w:pPr>
    </w:p>
    <w:p w:rsidR="000F00AD" w:rsidRPr="00835DC8" w:rsidRDefault="000F00AD" w:rsidP="006963B0">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Non-</w:t>
      </w:r>
      <w:r w:rsidR="00D371BC" w:rsidRPr="00835DC8">
        <w:rPr>
          <w:color w:val="365F91" w:themeColor="accent1" w:themeShade="BF"/>
          <w:sz w:val="24"/>
          <w:szCs w:val="24"/>
        </w:rPr>
        <w:t>c</w:t>
      </w:r>
      <w:r w:rsidRPr="00835DC8">
        <w:rPr>
          <w:color w:val="365F91" w:themeColor="accent1" w:themeShade="BF"/>
          <w:sz w:val="24"/>
          <w:szCs w:val="24"/>
        </w:rPr>
        <w:t>linical staff</w:t>
      </w:r>
    </w:p>
    <w:p w:rsidR="000F00AD" w:rsidRPr="00835DC8" w:rsidRDefault="000F00AD" w:rsidP="0070113B">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Clinical staff - Non-</w:t>
      </w:r>
      <w:r w:rsidR="00D371BC" w:rsidRPr="00835DC8">
        <w:rPr>
          <w:color w:val="365F91" w:themeColor="accent1" w:themeShade="BF"/>
          <w:sz w:val="24"/>
          <w:szCs w:val="24"/>
        </w:rPr>
        <w:t>m</w:t>
      </w:r>
      <w:r w:rsidRPr="00835DC8">
        <w:rPr>
          <w:color w:val="365F91" w:themeColor="accent1" w:themeShade="BF"/>
          <w:sz w:val="24"/>
          <w:szCs w:val="24"/>
        </w:rPr>
        <w:t>edical staff</w:t>
      </w:r>
    </w:p>
    <w:p w:rsidR="000F00AD" w:rsidRPr="00835DC8" w:rsidRDefault="0070113B" w:rsidP="0070113B">
      <w:pPr>
        <w:spacing w:after="0"/>
        <w:ind w:left="1440"/>
        <w:rPr>
          <w:color w:val="365F91" w:themeColor="accent1" w:themeShade="BF"/>
          <w:sz w:val="24"/>
          <w:szCs w:val="24"/>
        </w:rPr>
      </w:pPr>
      <w:r w:rsidRPr="00835DC8">
        <w:rPr>
          <w:color w:val="365F91" w:themeColor="accent1" w:themeShade="BF"/>
          <w:sz w:val="24"/>
          <w:szCs w:val="24"/>
        </w:rPr>
        <w:t xml:space="preserve">          </w:t>
      </w:r>
      <w:r w:rsidR="000F00AD" w:rsidRPr="00835DC8">
        <w:rPr>
          <w:color w:val="365F91" w:themeColor="accent1" w:themeShade="BF"/>
          <w:sz w:val="24"/>
          <w:szCs w:val="24"/>
        </w:rPr>
        <w:t>- Medical and Dental staff</w:t>
      </w:r>
    </w:p>
    <w:p w:rsidR="001A115B" w:rsidRPr="00835DC8" w:rsidRDefault="001A115B" w:rsidP="006963B0">
      <w:pPr>
        <w:spacing w:after="0"/>
        <w:ind w:left="2160"/>
        <w:rPr>
          <w:color w:val="365F91" w:themeColor="accent1" w:themeShade="BF"/>
          <w:sz w:val="24"/>
          <w:szCs w:val="24"/>
        </w:rPr>
      </w:pPr>
    </w:p>
    <w:p w:rsidR="000F00AD" w:rsidRPr="00835DC8" w:rsidRDefault="000F00AD" w:rsidP="000F00AD">
      <w:pPr>
        <w:spacing w:after="0"/>
        <w:rPr>
          <w:color w:val="365F91" w:themeColor="accent1" w:themeShade="BF"/>
          <w:sz w:val="24"/>
          <w:szCs w:val="24"/>
        </w:rPr>
      </w:pPr>
      <w:r w:rsidRPr="00835DC8">
        <w:rPr>
          <w:color w:val="365F91" w:themeColor="accent1" w:themeShade="BF"/>
          <w:sz w:val="24"/>
          <w:szCs w:val="24"/>
        </w:rPr>
        <w:t xml:space="preserve">Note: </w:t>
      </w:r>
      <w:r w:rsidR="006963B0" w:rsidRPr="00835DC8">
        <w:rPr>
          <w:color w:val="365F91" w:themeColor="accent1" w:themeShade="BF"/>
          <w:sz w:val="24"/>
          <w:szCs w:val="24"/>
        </w:rPr>
        <w:t>d</w:t>
      </w:r>
      <w:r w:rsidRPr="00835DC8">
        <w:rPr>
          <w:color w:val="365F91" w:themeColor="accent1" w:themeShade="BF"/>
          <w:sz w:val="24"/>
          <w:szCs w:val="24"/>
        </w:rPr>
        <w:t>efinitions for these categories are based on Electronic Staff Record</w:t>
      </w:r>
      <w:r w:rsidR="006963B0" w:rsidRPr="00835DC8">
        <w:rPr>
          <w:color w:val="365F91" w:themeColor="accent1" w:themeShade="BF"/>
          <w:sz w:val="24"/>
          <w:szCs w:val="24"/>
        </w:rPr>
        <w:t xml:space="preserve"> (ESR) </w:t>
      </w:r>
      <w:r w:rsidRPr="00835DC8">
        <w:rPr>
          <w:color w:val="365F91" w:themeColor="accent1" w:themeShade="BF"/>
          <w:sz w:val="24"/>
          <w:szCs w:val="24"/>
        </w:rPr>
        <w:t>occupation codes with the exception of Medical and Dental staff, which are</w:t>
      </w:r>
      <w:r w:rsidR="006963B0" w:rsidRPr="00835DC8">
        <w:rPr>
          <w:color w:val="365F91" w:themeColor="accent1" w:themeShade="BF"/>
          <w:sz w:val="24"/>
          <w:szCs w:val="24"/>
        </w:rPr>
        <w:t xml:space="preserve"> </w:t>
      </w:r>
      <w:r w:rsidRPr="00835DC8">
        <w:rPr>
          <w:color w:val="365F91" w:themeColor="accent1" w:themeShade="BF"/>
          <w:sz w:val="24"/>
          <w:szCs w:val="24"/>
        </w:rPr>
        <w:t>based upon grade codes.</w:t>
      </w:r>
    </w:p>
    <w:p w:rsidR="006963B0" w:rsidRPr="00835DC8" w:rsidRDefault="006963B0" w:rsidP="000F00AD">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B303F1" w:rsidRPr="00835DC8" w:rsidTr="009F782A">
        <w:tc>
          <w:tcPr>
            <w:tcW w:w="1803" w:type="dxa"/>
            <w:shd w:val="clear" w:color="auto" w:fill="F2F2F2" w:themeFill="background1" w:themeFillShade="F2"/>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Workforce totals</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2021 headcount</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2021 %</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2022 headcount</w:t>
            </w:r>
          </w:p>
        </w:tc>
        <w:tc>
          <w:tcPr>
            <w:tcW w:w="1804"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2022 %</w:t>
            </w:r>
          </w:p>
        </w:tc>
      </w:tr>
      <w:tr w:rsidR="00B303F1" w:rsidRPr="00835DC8" w:rsidTr="00B303F1">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White</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4,405</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85.87</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4,793</w:t>
            </w:r>
          </w:p>
        </w:tc>
        <w:tc>
          <w:tcPr>
            <w:tcW w:w="1804"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85.77</w:t>
            </w:r>
          </w:p>
        </w:tc>
      </w:tr>
      <w:tr w:rsidR="00B303F1" w:rsidRPr="00835DC8" w:rsidTr="00B303F1">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BME</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640</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12.48</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724</w:t>
            </w:r>
          </w:p>
        </w:tc>
        <w:tc>
          <w:tcPr>
            <w:tcW w:w="1804"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12.9</w:t>
            </w:r>
            <w:r w:rsidR="00317029" w:rsidRPr="00835DC8">
              <w:rPr>
                <w:color w:val="365F91" w:themeColor="accent1" w:themeShade="BF"/>
                <w:sz w:val="24"/>
                <w:szCs w:val="24"/>
              </w:rPr>
              <w:t>6</w:t>
            </w:r>
          </w:p>
        </w:tc>
      </w:tr>
      <w:tr w:rsidR="00B303F1" w:rsidRPr="00835DC8" w:rsidTr="00B303F1">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Unknown</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85</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1.66</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71</w:t>
            </w:r>
          </w:p>
        </w:tc>
        <w:tc>
          <w:tcPr>
            <w:tcW w:w="1804"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1.27</w:t>
            </w:r>
          </w:p>
        </w:tc>
      </w:tr>
      <w:tr w:rsidR="00B303F1" w:rsidRPr="00835DC8" w:rsidTr="00B303F1">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Total</w:t>
            </w: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5,130</w:t>
            </w:r>
          </w:p>
        </w:tc>
        <w:tc>
          <w:tcPr>
            <w:tcW w:w="1803" w:type="dxa"/>
          </w:tcPr>
          <w:p w:rsidR="00B303F1" w:rsidRPr="00835DC8" w:rsidRDefault="00B303F1" w:rsidP="000F00AD">
            <w:pPr>
              <w:rPr>
                <w:color w:val="365F91" w:themeColor="accent1" w:themeShade="BF"/>
                <w:sz w:val="24"/>
                <w:szCs w:val="24"/>
              </w:rPr>
            </w:pPr>
          </w:p>
        </w:tc>
        <w:tc>
          <w:tcPr>
            <w:tcW w:w="1803" w:type="dxa"/>
          </w:tcPr>
          <w:p w:rsidR="00B303F1" w:rsidRPr="00835DC8" w:rsidRDefault="00B303F1" w:rsidP="000F00AD">
            <w:pPr>
              <w:rPr>
                <w:color w:val="365F91" w:themeColor="accent1" w:themeShade="BF"/>
                <w:sz w:val="24"/>
                <w:szCs w:val="24"/>
              </w:rPr>
            </w:pPr>
            <w:r w:rsidRPr="00835DC8">
              <w:rPr>
                <w:color w:val="365F91" w:themeColor="accent1" w:themeShade="BF"/>
                <w:sz w:val="24"/>
                <w:szCs w:val="24"/>
              </w:rPr>
              <w:t>5,588</w:t>
            </w:r>
          </w:p>
        </w:tc>
        <w:tc>
          <w:tcPr>
            <w:tcW w:w="1804" w:type="dxa"/>
          </w:tcPr>
          <w:p w:rsidR="00B303F1" w:rsidRPr="00835DC8" w:rsidRDefault="00B303F1" w:rsidP="000F00AD">
            <w:pPr>
              <w:rPr>
                <w:color w:val="365F91" w:themeColor="accent1" w:themeShade="BF"/>
                <w:sz w:val="24"/>
                <w:szCs w:val="24"/>
              </w:rPr>
            </w:pPr>
          </w:p>
        </w:tc>
      </w:tr>
    </w:tbl>
    <w:p w:rsidR="006963B0" w:rsidRPr="00835DC8" w:rsidRDefault="006963B0" w:rsidP="000F00AD">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D371BC" w:rsidRPr="00835DC8" w:rsidTr="009F782A">
        <w:tc>
          <w:tcPr>
            <w:tcW w:w="1803" w:type="dxa"/>
            <w:shd w:val="clear" w:color="auto" w:fill="F2F2F2" w:themeFill="background1" w:themeFillShade="F2"/>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Non-clinical</w:t>
            </w:r>
            <w:r w:rsidR="003D7E11" w:rsidRPr="00835DC8">
              <w:rPr>
                <w:color w:val="365F91" w:themeColor="accent1" w:themeShade="BF"/>
                <w:sz w:val="24"/>
                <w:szCs w:val="24"/>
              </w:rPr>
              <w:t xml:space="preserve"> staff</w:t>
            </w:r>
          </w:p>
        </w:t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Cluster 1 (bands 2,</w:t>
            </w:r>
            <w:r w:rsidR="00440AAE" w:rsidRPr="00835DC8">
              <w:rPr>
                <w:color w:val="365F91" w:themeColor="accent1" w:themeShade="BF"/>
                <w:sz w:val="24"/>
                <w:szCs w:val="24"/>
              </w:rPr>
              <w:t xml:space="preserve"> </w:t>
            </w:r>
            <w:r w:rsidRPr="00835DC8">
              <w:rPr>
                <w:color w:val="365F91" w:themeColor="accent1" w:themeShade="BF"/>
                <w:sz w:val="24"/>
                <w:szCs w:val="24"/>
              </w:rPr>
              <w:t>3,</w:t>
            </w:r>
            <w:r w:rsidR="00440AAE" w:rsidRPr="00835DC8">
              <w:rPr>
                <w:color w:val="365F91" w:themeColor="accent1" w:themeShade="BF"/>
                <w:sz w:val="24"/>
                <w:szCs w:val="24"/>
              </w:rPr>
              <w:t xml:space="preserve"> </w:t>
            </w:r>
            <w:r w:rsidRPr="00835DC8">
              <w:rPr>
                <w:color w:val="365F91" w:themeColor="accent1" w:themeShade="BF"/>
                <w:sz w:val="24"/>
                <w:szCs w:val="24"/>
              </w:rPr>
              <w:t>4)</w:t>
            </w:r>
          </w:p>
        </w:t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Cluster 1 %</w:t>
            </w:r>
          </w:p>
        </w:t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Cluster 2 (bands 5,</w:t>
            </w:r>
            <w:r w:rsidR="00440AAE" w:rsidRPr="00835DC8">
              <w:rPr>
                <w:color w:val="365F91" w:themeColor="accent1" w:themeShade="BF"/>
                <w:sz w:val="24"/>
                <w:szCs w:val="24"/>
              </w:rPr>
              <w:t xml:space="preserve"> </w:t>
            </w:r>
            <w:r w:rsidRPr="00835DC8">
              <w:rPr>
                <w:color w:val="365F91" w:themeColor="accent1" w:themeShade="BF"/>
                <w:sz w:val="24"/>
                <w:szCs w:val="24"/>
              </w:rPr>
              <w:t>6,</w:t>
            </w:r>
            <w:r w:rsidR="00440AAE" w:rsidRPr="00835DC8">
              <w:rPr>
                <w:color w:val="365F91" w:themeColor="accent1" w:themeShade="BF"/>
                <w:sz w:val="24"/>
                <w:szCs w:val="24"/>
              </w:rPr>
              <w:t xml:space="preserve"> </w:t>
            </w:r>
            <w:r w:rsidRPr="00835DC8">
              <w:rPr>
                <w:color w:val="365F91" w:themeColor="accent1" w:themeShade="BF"/>
                <w:sz w:val="24"/>
                <w:szCs w:val="24"/>
              </w:rPr>
              <w:t>7)</w:t>
            </w:r>
          </w:p>
        </w:tc>
        <w:tc>
          <w:tcPr>
            <w:tcW w:w="1804"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Cluster 2 %</w:t>
            </w:r>
          </w:p>
        </w:tc>
      </w:tr>
      <w:tr w:rsidR="00D371BC" w:rsidRPr="00835DC8" w:rsidTr="00D371B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 xml:space="preserve">White </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916</w:t>
            </w:r>
          </w:p>
        </w:t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89.</w:t>
            </w:r>
            <w:r w:rsidR="007A5AC3" w:rsidRPr="00835DC8">
              <w:rPr>
                <w:color w:val="365F91" w:themeColor="accent1" w:themeShade="BF"/>
                <w:sz w:val="24"/>
                <w:szCs w:val="24"/>
              </w:rPr>
              <w:t>72</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321</w:t>
            </w:r>
          </w:p>
        </w:tc>
        <w:tc>
          <w:tcPr>
            <w:tcW w:w="1804"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90.42</w:t>
            </w:r>
          </w:p>
        </w:tc>
      </w:tr>
      <w:tr w:rsidR="00D371BC" w:rsidRPr="00835DC8" w:rsidTr="00D371B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BME</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89</w:t>
            </w:r>
          </w:p>
        </w:t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8.</w:t>
            </w:r>
            <w:r w:rsidR="007A5AC3" w:rsidRPr="00835DC8">
              <w:rPr>
                <w:color w:val="365F91" w:themeColor="accent1" w:themeShade="BF"/>
                <w:sz w:val="24"/>
                <w:szCs w:val="24"/>
              </w:rPr>
              <w:t>72</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29</w:t>
            </w:r>
          </w:p>
        </w:tc>
        <w:tc>
          <w:tcPr>
            <w:tcW w:w="1804"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8.17</w:t>
            </w:r>
          </w:p>
        </w:tc>
      </w:tr>
      <w:tr w:rsidR="00D371BC" w:rsidRPr="00835DC8" w:rsidTr="00D371B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Unknown</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16</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1.57</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5</w:t>
            </w:r>
          </w:p>
        </w:tc>
        <w:tc>
          <w:tcPr>
            <w:tcW w:w="1804"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1.41</w:t>
            </w:r>
          </w:p>
        </w:tc>
      </w:tr>
      <w:tr w:rsidR="00D371BC" w:rsidRPr="00835DC8" w:rsidTr="00D371BC">
        <w:tc>
          <w:tcPr>
            <w:tcW w:w="1803" w:type="dxa"/>
          </w:tcPr>
          <w:p w:rsidR="00D371BC" w:rsidRPr="00835DC8" w:rsidRDefault="00D371BC" w:rsidP="000F00AD">
            <w:pPr>
              <w:rPr>
                <w:color w:val="365F91" w:themeColor="accent1" w:themeShade="BF"/>
                <w:sz w:val="24"/>
                <w:szCs w:val="24"/>
              </w:rPr>
            </w:pPr>
            <w:r w:rsidRPr="00835DC8">
              <w:rPr>
                <w:color w:val="365F91" w:themeColor="accent1" w:themeShade="BF"/>
                <w:sz w:val="24"/>
                <w:szCs w:val="24"/>
              </w:rPr>
              <w:t>Total</w:t>
            </w: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1,021</w:t>
            </w:r>
          </w:p>
        </w:tc>
        <w:tc>
          <w:tcPr>
            <w:tcW w:w="1803" w:type="dxa"/>
          </w:tcPr>
          <w:p w:rsidR="00D371BC" w:rsidRPr="00835DC8" w:rsidRDefault="00D371BC" w:rsidP="000F00AD">
            <w:pPr>
              <w:rPr>
                <w:color w:val="365F91" w:themeColor="accent1" w:themeShade="BF"/>
                <w:sz w:val="24"/>
                <w:szCs w:val="24"/>
              </w:rPr>
            </w:pPr>
          </w:p>
        </w:tc>
        <w:tc>
          <w:tcPr>
            <w:tcW w:w="1803" w:type="dxa"/>
          </w:tcPr>
          <w:p w:rsidR="00D371BC" w:rsidRPr="00835DC8" w:rsidRDefault="007A5AC3" w:rsidP="000F00AD">
            <w:pPr>
              <w:rPr>
                <w:color w:val="365F91" w:themeColor="accent1" w:themeShade="BF"/>
                <w:sz w:val="24"/>
                <w:szCs w:val="24"/>
              </w:rPr>
            </w:pPr>
            <w:r w:rsidRPr="00835DC8">
              <w:rPr>
                <w:color w:val="365F91" w:themeColor="accent1" w:themeShade="BF"/>
                <w:sz w:val="24"/>
                <w:szCs w:val="24"/>
              </w:rPr>
              <w:t>355</w:t>
            </w:r>
          </w:p>
        </w:tc>
        <w:tc>
          <w:tcPr>
            <w:tcW w:w="1804" w:type="dxa"/>
          </w:tcPr>
          <w:p w:rsidR="00D371BC" w:rsidRPr="00835DC8" w:rsidRDefault="00D371BC" w:rsidP="000F00AD">
            <w:pPr>
              <w:rPr>
                <w:color w:val="365F91" w:themeColor="accent1" w:themeShade="BF"/>
                <w:sz w:val="24"/>
                <w:szCs w:val="24"/>
              </w:rPr>
            </w:pPr>
          </w:p>
        </w:tc>
      </w:tr>
    </w:tbl>
    <w:p w:rsidR="006963B0" w:rsidRPr="00835DC8" w:rsidRDefault="006963B0" w:rsidP="000F00AD">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D371BC" w:rsidRPr="00835DC8" w:rsidTr="009F782A">
        <w:tc>
          <w:tcPr>
            <w:tcW w:w="1803" w:type="dxa"/>
            <w:shd w:val="clear" w:color="auto" w:fill="F2F2F2" w:themeFill="background1" w:themeFillShade="F2"/>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Non-clinical</w:t>
            </w:r>
            <w:r w:rsidR="003D7E11" w:rsidRPr="00835DC8">
              <w:rPr>
                <w:color w:val="365F91" w:themeColor="accent1" w:themeShade="BF"/>
                <w:sz w:val="24"/>
                <w:szCs w:val="24"/>
              </w:rPr>
              <w:t xml:space="preserve"> staff</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3 (bands 8a,</w:t>
            </w:r>
            <w:r w:rsidR="00440AAE" w:rsidRPr="00835DC8">
              <w:rPr>
                <w:color w:val="365F91" w:themeColor="accent1" w:themeShade="BF"/>
                <w:sz w:val="24"/>
                <w:szCs w:val="24"/>
              </w:rPr>
              <w:t xml:space="preserve"> </w:t>
            </w:r>
            <w:r w:rsidRPr="00835DC8">
              <w:rPr>
                <w:color w:val="365F91" w:themeColor="accent1" w:themeShade="BF"/>
                <w:sz w:val="24"/>
                <w:szCs w:val="24"/>
              </w:rPr>
              <w:t>8b)</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3 %</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4 (bands 8c,</w:t>
            </w:r>
            <w:r w:rsidR="00440AAE" w:rsidRPr="00835DC8">
              <w:rPr>
                <w:color w:val="365F91" w:themeColor="accent1" w:themeShade="BF"/>
                <w:sz w:val="24"/>
                <w:szCs w:val="24"/>
              </w:rPr>
              <w:t xml:space="preserve"> </w:t>
            </w:r>
            <w:r w:rsidRPr="00835DC8">
              <w:rPr>
                <w:color w:val="365F91" w:themeColor="accent1" w:themeShade="BF"/>
                <w:sz w:val="24"/>
                <w:szCs w:val="24"/>
              </w:rPr>
              <w:t>8d,</w:t>
            </w:r>
            <w:r w:rsidR="00440AAE" w:rsidRPr="00835DC8">
              <w:rPr>
                <w:color w:val="365F91" w:themeColor="accent1" w:themeShade="BF"/>
                <w:sz w:val="24"/>
                <w:szCs w:val="24"/>
              </w:rPr>
              <w:t xml:space="preserve"> </w:t>
            </w:r>
            <w:r w:rsidRPr="00835DC8">
              <w:rPr>
                <w:color w:val="365F91" w:themeColor="accent1" w:themeShade="BF"/>
                <w:sz w:val="24"/>
                <w:szCs w:val="24"/>
              </w:rPr>
              <w:t>9,</w:t>
            </w:r>
            <w:r w:rsidR="00440AAE" w:rsidRPr="00835DC8">
              <w:rPr>
                <w:color w:val="365F91" w:themeColor="accent1" w:themeShade="BF"/>
                <w:sz w:val="24"/>
                <w:szCs w:val="24"/>
              </w:rPr>
              <w:t xml:space="preserve"> </w:t>
            </w:r>
            <w:r w:rsidRPr="00835DC8">
              <w:rPr>
                <w:color w:val="365F91" w:themeColor="accent1" w:themeShade="BF"/>
                <w:sz w:val="24"/>
                <w:szCs w:val="24"/>
              </w:rPr>
              <w:t>VSM)</w:t>
            </w:r>
          </w:p>
        </w:tc>
        <w:tc>
          <w:tcPr>
            <w:tcW w:w="1804"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4 %</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 xml:space="preserve">White </w:t>
            </w:r>
          </w:p>
        </w:tc>
        <w:tc>
          <w:tcPr>
            <w:tcW w:w="1803" w:type="dxa"/>
          </w:tcPr>
          <w:p w:rsidR="007A5AC3" w:rsidRPr="00835DC8" w:rsidRDefault="007A5AC3" w:rsidP="006D0197">
            <w:pPr>
              <w:rPr>
                <w:color w:val="365F91" w:themeColor="accent1" w:themeShade="BF"/>
                <w:sz w:val="24"/>
                <w:szCs w:val="24"/>
              </w:rPr>
            </w:pPr>
            <w:r w:rsidRPr="00835DC8">
              <w:rPr>
                <w:color w:val="365F91" w:themeColor="accent1" w:themeShade="BF"/>
                <w:sz w:val="24"/>
                <w:szCs w:val="24"/>
              </w:rPr>
              <w:t>127</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90.71</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52</w:t>
            </w:r>
          </w:p>
        </w:tc>
        <w:tc>
          <w:tcPr>
            <w:tcW w:w="1804"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94.55</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BME</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10</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7.14</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3</w:t>
            </w:r>
          </w:p>
        </w:tc>
        <w:tc>
          <w:tcPr>
            <w:tcW w:w="1804"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5.45</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Unknown</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3</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2.14</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0</w:t>
            </w:r>
          </w:p>
        </w:tc>
        <w:tc>
          <w:tcPr>
            <w:tcW w:w="1804" w:type="dxa"/>
          </w:tcPr>
          <w:p w:rsidR="00D371BC" w:rsidRPr="00835DC8" w:rsidRDefault="00440AAE" w:rsidP="006D0197">
            <w:pPr>
              <w:rPr>
                <w:color w:val="365F91" w:themeColor="accent1" w:themeShade="BF"/>
                <w:sz w:val="24"/>
                <w:szCs w:val="24"/>
              </w:rPr>
            </w:pPr>
            <w:r w:rsidRPr="00835DC8">
              <w:rPr>
                <w:color w:val="365F91" w:themeColor="accent1" w:themeShade="BF"/>
                <w:sz w:val="24"/>
                <w:szCs w:val="24"/>
              </w:rPr>
              <w:t>0.00</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Total</w:t>
            </w:r>
          </w:p>
        </w:tc>
        <w:tc>
          <w:tcPr>
            <w:tcW w:w="1803" w:type="dxa"/>
          </w:tcPr>
          <w:p w:rsidR="00D371BC" w:rsidRPr="00835DC8" w:rsidRDefault="007A5AC3" w:rsidP="006D0197">
            <w:pPr>
              <w:rPr>
                <w:color w:val="365F91" w:themeColor="accent1" w:themeShade="BF"/>
                <w:sz w:val="24"/>
                <w:szCs w:val="24"/>
              </w:rPr>
            </w:pPr>
            <w:r w:rsidRPr="00835DC8">
              <w:rPr>
                <w:color w:val="365F91" w:themeColor="accent1" w:themeShade="BF"/>
                <w:sz w:val="24"/>
                <w:szCs w:val="24"/>
              </w:rPr>
              <w:t>140</w:t>
            </w:r>
          </w:p>
        </w:tc>
        <w:tc>
          <w:tcPr>
            <w:tcW w:w="1803" w:type="dxa"/>
          </w:tcPr>
          <w:p w:rsidR="00D371BC" w:rsidRPr="00835DC8" w:rsidRDefault="00D371BC" w:rsidP="006D0197">
            <w:pPr>
              <w:rPr>
                <w:color w:val="365F91" w:themeColor="accent1" w:themeShade="BF"/>
                <w:sz w:val="24"/>
                <w:szCs w:val="24"/>
              </w:rPr>
            </w:pPr>
          </w:p>
        </w:tc>
        <w:tc>
          <w:tcPr>
            <w:tcW w:w="1803" w:type="dxa"/>
          </w:tcPr>
          <w:p w:rsidR="00D371BC" w:rsidRPr="00835DC8" w:rsidRDefault="00F05D89" w:rsidP="006D0197">
            <w:pPr>
              <w:rPr>
                <w:color w:val="365F91" w:themeColor="accent1" w:themeShade="BF"/>
                <w:sz w:val="24"/>
                <w:szCs w:val="24"/>
              </w:rPr>
            </w:pPr>
            <w:r w:rsidRPr="00835DC8">
              <w:rPr>
                <w:color w:val="365F91" w:themeColor="accent1" w:themeShade="BF"/>
                <w:sz w:val="24"/>
                <w:szCs w:val="24"/>
              </w:rPr>
              <w:t>55</w:t>
            </w:r>
          </w:p>
        </w:tc>
        <w:tc>
          <w:tcPr>
            <w:tcW w:w="1804" w:type="dxa"/>
          </w:tcPr>
          <w:p w:rsidR="00D371BC" w:rsidRPr="00835DC8" w:rsidRDefault="00D371BC" w:rsidP="006D0197">
            <w:pPr>
              <w:rPr>
                <w:color w:val="365F91" w:themeColor="accent1" w:themeShade="BF"/>
                <w:sz w:val="24"/>
                <w:szCs w:val="24"/>
              </w:rPr>
            </w:pPr>
          </w:p>
        </w:tc>
      </w:tr>
    </w:tbl>
    <w:p w:rsidR="00D371BC" w:rsidRPr="00835DC8" w:rsidRDefault="00D371BC" w:rsidP="000F00AD">
      <w:pPr>
        <w:spacing w:after="0"/>
        <w:rPr>
          <w:color w:val="365F91" w:themeColor="accent1" w:themeShade="BF"/>
          <w:sz w:val="24"/>
          <w:szCs w:val="24"/>
        </w:rPr>
      </w:pPr>
    </w:p>
    <w:p w:rsidR="007A5AC3" w:rsidRPr="00835DC8" w:rsidRDefault="007A5AC3" w:rsidP="000F00AD">
      <w:pPr>
        <w:spacing w:after="0"/>
        <w:rPr>
          <w:color w:val="365F91" w:themeColor="accent1" w:themeShade="BF"/>
          <w:sz w:val="24"/>
          <w:szCs w:val="24"/>
        </w:rPr>
      </w:pPr>
      <w:r w:rsidRPr="00835DC8">
        <w:rPr>
          <w:noProof/>
          <w:color w:val="365F91" w:themeColor="accent1" w:themeShade="BF"/>
          <w:sz w:val="24"/>
          <w:szCs w:val="24"/>
        </w:rPr>
        <w:lastRenderedPageBreak/>
        <w:drawing>
          <wp:inline distT="0" distB="0" distL="0" distR="0">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7A5AC3" w:rsidRPr="00835DC8" w:rsidRDefault="007A5AC3" w:rsidP="000F00AD">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D371BC" w:rsidRPr="00835DC8" w:rsidTr="009F782A">
        <w:tc>
          <w:tcPr>
            <w:tcW w:w="1803" w:type="dxa"/>
            <w:shd w:val="clear" w:color="auto" w:fill="F2F2F2" w:themeFill="background1" w:themeFillShade="F2"/>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Clinical</w:t>
            </w:r>
            <w:r w:rsidR="003D7E11" w:rsidRPr="00835DC8">
              <w:rPr>
                <w:color w:val="365F91" w:themeColor="accent1" w:themeShade="BF"/>
                <w:sz w:val="24"/>
                <w:szCs w:val="24"/>
              </w:rPr>
              <w:t xml:space="preserve"> staff</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1 (bands 2,</w:t>
            </w:r>
            <w:r w:rsidR="00440AAE" w:rsidRPr="00835DC8">
              <w:rPr>
                <w:color w:val="365F91" w:themeColor="accent1" w:themeShade="BF"/>
                <w:sz w:val="24"/>
                <w:szCs w:val="24"/>
              </w:rPr>
              <w:t xml:space="preserve"> </w:t>
            </w:r>
            <w:r w:rsidRPr="00835DC8">
              <w:rPr>
                <w:color w:val="365F91" w:themeColor="accent1" w:themeShade="BF"/>
                <w:sz w:val="24"/>
                <w:szCs w:val="24"/>
              </w:rPr>
              <w:t>3,</w:t>
            </w:r>
            <w:r w:rsidR="00440AAE" w:rsidRPr="00835DC8">
              <w:rPr>
                <w:color w:val="365F91" w:themeColor="accent1" w:themeShade="BF"/>
                <w:sz w:val="24"/>
                <w:szCs w:val="24"/>
              </w:rPr>
              <w:t xml:space="preserve"> </w:t>
            </w:r>
            <w:r w:rsidRPr="00835DC8">
              <w:rPr>
                <w:color w:val="365F91" w:themeColor="accent1" w:themeShade="BF"/>
                <w:sz w:val="24"/>
                <w:szCs w:val="24"/>
              </w:rPr>
              <w:t>4)</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1 %</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2 (bands 5,</w:t>
            </w:r>
            <w:r w:rsidR="00440AAE" w:rsidRPr="00835DC8">
              <w:rPr>
                <w:color w:val="365F91" w:themeColor="accent1" w:themeShade="BF"/>
                <w:sz w:val="24"/>
                <w:szCs w:val="24"/>
              </w:rPr>
              <w:t xml:space="preserve"> </w:t>
            </w:r>
            <w:r w:rsidRPr="00835DC8">
              <w:rPr>
                <w:color w:val="365F91" w:themeColor="accent1" w:themeShade="BF"/>
                <w:sz w:val="24"/>
                <w:szCs w:val="24"/>
              </w:rPr>
              <w:t>6,</w:t>
            </w:r>
            <w:r w:rsidR="00440AAE" w:rsidRPr="00835DC8">
              <w:rPr>
                <w:color w:val="365F91" w:themeColor="accent1" w:themeShade="BF"/>
                <w:sz w:val="24"/>
                <w:szCs w:val="24"/>
              </w:rPr>
              <w:t xml:space="preserve"> </w:t>
            </w:r>
            <w:r w:rsidRPr="00835DC8">
              <w:rPr>
                <w:color w:val="365F91" w:themeColor="accent1" w:themeShade="BF"/>
                <w:sz w:val="24"/>
                <w:szCs w:val="24"/>
              </w:rPr>
              <w:t>7)</w:t>
            </w:r>
          </w:p>
        </w:tc>
        <w:tc>
          <w:tcPr>
            <w:tcW w:w="1804"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2 %</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 xml:space="preserve">White </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869</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80.24</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1,794</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86.50</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BME</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197</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18.19</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259</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12.49</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Unknown</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17</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1.57</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21</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1.01</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Total</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1,083</w:t>
            </w:r>
          </w:p>
        </w:tc>
        <w:tc>
          <w:tcPr>
            <w:tcW w:w="1803" w:type="dxa"/>
          </w:tcPr>
          <w:p w:rsidR="00D371BC" w:rsidRPr="00835DC8" w:rsidRDefault="00D371BC" w:rsidP="006D0197">
            <w:pPr>
              <w:rPr>
                <w:color w:val="365F91" w:themeColor="accent1" w:themeShade="BF"/>
                <w:sz w:val="24"/>
                <w:szCs w:val="24"/>
              </w:rPr>
            </w:pP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2,074</w:t>
            </w:r>
          </w:p>
        </w:tc>
        <w:tc>
          <w:tcPr>
            <w:tcW w:w="1804" w:type="dxa"/>
          </w:tcPr>
          <w:p w:rsidR="00D371BC" w:rsidRPr="00835DC8" w:rsidRDefault="00D371BC" w:rsidP="006D0197">
            <w:pPr>
              <w:rPr>
                <w:color w:val="365F91" w:themeColor="accent1" w:themeShade="BF"/>
                <w:sz w:val="24"/>
                <w:szCs w:val="24"/>
              </w:rPr>
            </w:pPr>
          </w:p>
        </w:tc>
      </w:tr>
    </w:tbl>
    <w:p w:rsidR="00D371BC" w:rsidRPr="00835DC8" w:rsidRDefault="00D371BC" w:rsidP="00D371BC">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D371BC" w:rsidRPr="00835DC8" w:rsidTr="009F782A">
        <w:tc>
          <w:tcPr>
            <w:tcW w:w="1803" w:type="dxa"/>
            <w:shd w:val="clear" w:color="auto" w:fill="F2F2F2" w:themeFill="background1" w:themeFillShade="F2"/>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Clinical</w:t>
            </w:r>
            <w:r w:rsidR="003D7E11" w:rsidRPr="00835DC8">
              <w:rPr>
                <w:color w:val="365F91" w:themeColor="accent1" w:themeShade="BF"/>
                <w:sz w:val="24"/>
                <w:szCs w:val="24"/>
              </w:rPr>
              <w:t xml:space="preserve"> staff</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3 (bands 8a,</w:t>
            </w:r>
            <w:r w:rsidR="00440AAE" w:rsidRPr="00835DC8">
              <w:rPr>
                <w:color w:val="365F91" w:themeColor="accent1" w:themeShade="BF"/>
                <w:sz w:val="24"/>
                <w:szCs w:val="24"/>
              </w:rPr>
              <w:t xml:space="preserve"> </w:t>
            </w:r>
            <w:r w:rsidRPr="00835DC8">
              <w:rPr>
                <w:color w:val="365F91" w:themeColor="accent1" w:themeShade="BF"/>
                <w:sz w:val="24"/>
                <w:szCs w:val="24"/>
              </w:rPr>
              <w:t>8b)</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3 %</w:t>
            </w:r>
          </w:p>
        </w:tc>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4 (bands 8c,</w:t>
            </w:r>
            <w:r w:rsidR="00440AAE" w:rsidRPr="00835DC8">
              <w:rPr>
                <w:color w:val="365F91" w:themeColor="accent1" w:themeShade="BF"/>
                <w:sz w:val="24"/>
                <w:szCs w:val="24"/>
              </w:rPr>
              <w:t xml:space="preserve"> </w:t>
            </w:r>
            <w:r w:rsidRPr="00835DC8">
              <w:rPr>
                <w:color w:val="365F91" w:themeColor="accent1" w:themeShade="BF"/>
                <w:sz w:val="24"/>
                <w:szCs w:val="24"/>
              </w:rPr>
              <w:t>8d,</w:t>
            </w:r>
            <w:r w:rsidR="00440AAE" w:rsidRPr="00835DC8">
              <w:rPr>
                <w:color w:val="365F91" w:themeColor="accent1" w:themeShade="BF"/>
                <w:sz w:val="24"/>
                <w:szCs w:val="24"/>
              </w:rPr>
              <w:t xml:space="preserve"> </w:t>
            </w:r>
            <w:r w:rsidRPr="00835DC8">
              <w:rPr>
                <w:color w:val="365F91" w:themeColor="accent1" w:themeShade="BF"/>
                <w:sz w:val="24"/>
                <w:szCs w:val="24"/>
              </w:rPr>
              <w:t>9,</w:t>
            </w:r>
            <w:r w:rsidR="00440AAE" w:rsidRPr="00835DC8">
              <w:rPr>
                <w:color w:val="365F91" w:themeColor="accent1" w:themeShade="BF"/>
                <w:sz w:val="24"/>
                <w:szCs w:val="24"/>
              </w:rPr>
              <w:t xml:space="preserve"> </w:t>
            </w:r>
            <w:r w:rsidRPr="00835DC8">
              <w:rPr>
                <w:color w:val="365F91" w:themeColor="accent1" w:themeShade="BF"/>
                <w:sz w:val="24"/>
                <w:szCs w:val="24"/>
              </w:rPr>
              <w:t>VSM)</w:t>
            </w:r>
          </w:p>
        </w:tc>
        <w:tc>
          <w:tcPr>
            <w:tcW w:w="1804"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Cluster 4 %</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 xml:space="preserve">White </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450</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93.56</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85</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96.59</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BME</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28</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5.82</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3</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3.41</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Unknown</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3</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0.62</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0</w:t>
            </w:r>
          </w:p>
        </w:tc>
        <w:tc>
          <w:tcPr>
            <w:tcW w:w="1804"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0</w:t>
            </w:r>
            <w:r w:rsidR="00B03433" w:rsidRPr="00835DC8">
              <w:rPr>
                <w:color w:val="365F91" w:themeColor="accent1" w:themeShade="BF"/>
                <w:sz w:val="24"/>
                <w:szCs w:val="24"/>
              </w:rPr>
              <w:t>.00</w:t>
            </w:r>
          </w:p>
        </w:tc>
      </w:tr>
      <w:tr w:rsidR="00D371BC" w:rsidRPr="00835DC8" w:rsidTr="006D0197">
        <w:tc>
          <w:tcPr>
            <w:tcW w:w="1803" w:type="dxa"/>
          </w:tcPr>
          <w:p w:rsidR="00D371BC" w:rsidRPr="00835DC8" w:rsidRDefault="00D371BC" w:rsidP="006D0197">
            <w:pPr>
              <w:rPr>
                <w:color w:val="365F91" w:themeColor="accent1" w:themeShade="BF"/>
                <w:sz w:val="24"/>
                <w:szCs w:val="24"/>
              </w:rPr>
            </w:pPr>
            <w:r w:rsidRPr="00835DC8">
              <w:rPr>
                <w:color w:val="365F91" w:themeColor="accent1" w:themeShade="BF"/>
                <w:sz w:val="24"/>
                <w:szCs w:val="24"/>
              </w:rPr>
              <w:t>Total</w:t>
            </w: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481</w:t>
            </w:r>
          </w:p>
        </w:tc>
        <w:tc>
          <w:tcPr>
            <w:tcW w:w="1803" w:type="dxa"/>
          </w:tcPr>
          <w:p w:rsidR="00D371BC" w:rsidRPr="00835DC8" w:rsidRDefault="00D371BC" w:rsidP="006D0197">
            <w:pPr>
              <w:rPr>
                <w:color w:val="365F91" w:themeColor="accent1" w:themeShade="BF"/>
                <w:sz w:val="24"/>
                <w:szCs w:val="24"/>
              </w:rPr>
            </w:pPr>
          </w:p>
        </w:tc>
        <w:tc>
          <w:tcPr>
            <w:tcW w:w="1803" w:type="dxa"/>
          </w:tcPr>
          <w:p w:rsidR="00D371BC" w:rsidRPr="00835DC8" w:rsidRDefault="00A85FEF" w:rsidP="006D0197">
            <w:pPr>
              <w:rPr>
                <w:color w:val="365F91" w:themeColor="accent1" w:themeShade="BF"/>
                <w:sz w:val="24"/>
                <w:szCs w:val="24"/>
              </w:rPr>
            </w:pPr>
            <w:r w:rsidRPr="00835DC8">
              <w:rPr>
                <w:color w:val="365F91" w:themeColor="accent1" w:themeShade="BF"/>
                <w:sz w:val="24"/>
                <w:szCs w:val="24"/>
              </w:rPr>
              <w:t>88</w:t>
            </w:r>
          </w:p>
        </w:tc>
        <w:tc>
          <w:tcPr>
            <w:tcW w:w="1804" w:type="dxa"/>
          </w:tcPr>
          <w:p w:rsidR="00D371BC" w:rsidRPr="00835DC8" w:rsidRDefault="00D371BC" w:rsidP="006D0197">
            <w:pPr>
              <w:rPr>
                <w:color w:val="365F91" w:themeColor="accent1" w:themeShade="BF"/>
                <w:sz w:val="24"/>
                <w:szCs w:val="24"/>
              </w:rPr>
            </w:pPr>
          </w:p>
        </w:tc>
      </w:tr>
    </w:tbl>
    <w:p w:rsidR="006963B0" w:rsidRPr="00835DC8" w:rsidRDefault="006963B0" w:rsidP="000F00AD">
      <w:pPr>
        <w:spacing w:after="0"/>
        <w:rPr>
          <w:color w:val="365F91" w:themeColor="accent1" w:themeShade="BF"/>
          <w:sz w:val="28"/>
          <w:szCs w:val="28"/>
        </w:rPr>
      </w:pPr>
    </w:p>
    <w:p w:rsidR="00A85FEF" w:rsidRPr="00835DC8" w:rsidRDefault="00A85FEF" w:rsidP="000F00AD">
      <w:pPr>
        <w:spacing w:after="0"/>
        <w:rPr>
          <w:color w:val="365F91" w:themeColor="accent1" w:themeShade="BF"/>
          <w:sz w:val="28"/>
          <w:szCs w:val="28"/>
        </w:rPr>
      </w:pPr>
      <w:r w:rsidRPr="00835DC8">
        <w:rPr>
          <w:noProof/>
          <w:color w:val="365F91" w:themeColor="accent1" w:themeShade="BF"/>
          <w:sz w:val="28"/>
          <w:szCs w:val="28"/>
        </w:rPr>
        <w:lastRenderedPageBreak/>
        <w:drawing>
          <wp:inline distT="0" distB="0" distL="0" distR="0" wp14:anchorId="66E89877" wp14:editId="042DE8A6">
            <wp:extent cx="5486400" cy="32004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85FEF" w:rsidRPr="00835DC8" w:rsidRDefault="00A85FEF" w:rsidP="000F00AD">
      <w:pPr>
        <w:spacing w:after="0"/>
        <w:rPr>
          <w:color w:val="365F91" w:themeColor="accent1" w:themeShade="BF"/>
          <w:sz w:val="28"/>
          <w:szCs w:val="28"/>
        </w:rPr>
      </w:pPr>
    </w:p>
    <w:tbl>
      <w:tblPr>
        <w:tblStyle w:val="TableGrid"/>
        <w:tblW w:w="0" w:type="auto"/>
        <w:tblLook w:val="04A0" w:firstRow="1" w:lastRow="0" w:firstColumn="1" w:lastColumn="0" w:noHBand="0" w:noVBand="1"/>
      </w:tblPr>
      <w:tblGrid>
        <w:gridCol w:w="1309"/>
        <w:gridCol w:w="1008"/>
        <w:gridCol w:w="1076"/>
        <w:gridCol w:w="1326"/>
        <w:gridCol w:w="1340"/>
        <w:gridCol w:w="1368"/>
        <w:gridCol w:w="1589"/>
      </w:tblGrid>
      <w:tr w:rsidR="004C5D55" w:rsidRPr="00835DC8" w:rsidTr="009F782A">
        <w:tc>
          <w:tcPr>
            <w:tcW w:w="1350" w:type="dxa"/>
            <w:shd w:val="clear" w:color="auto" w:fill="F2F2F2" w:themeFill="background1" w:themeFillShade="F2"/>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Medical and Dental</w:t>
            </w:r>
            <w:r w:rsidR="003D7E11" w:rsidRPr="00835DC8">
              <w:rPr>
                <w:color w:val="365F91" w:themeColor="accent1" w:themeShade="BF"/>
                <w:sz w:val="24"/>
                <w:szCs w:val="24"/>
              </w:rPr>
              <w:t xml:space="preserve"> staff</w:t>
            </w:r>
          </w:p>
        </w:tc>
        <w:tc>
          <w:tcPr>
            <w:tcW w:w="1024"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Trainee grades</w:t>
            </w:r>
          </w:p>
        </w:tc>
        <w:tc>
          <w:tcPr>
            <w:tcW w:w="111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Trainee grades %</w:t>
            </w:r>
          </w:p>
        </w:tc>
        <w:tc>
          <w:tcPr>
            <w:tcW w:w="134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Non-consultant career grades</w:t>
            </w:r>
          </w:p>
        </w:tc>
        <w:tc>
          <w:tcPr>
            <w:tcW w:w="1366"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Non-consultant career grades %</w:t>
            </w:r>
          </w:p>
        </w:tc>
        <w:tc>
          <w:tcPr>
            <w:tcW w:w="116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Consultants</w:t>
            </w:r>
          </w:p>
        </w:tc>
        <w:tc>
          <w:tcPr>
            <w:tcW w:w="16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Consultants %</w:t>
            </w:r>
          </w:p>
        </w:tc>
      </w:tr>
      <w:tr w:rsidR="004C5D55" w:rsidRPr="00835DC8" w:rsidTr="004C5D55">
        <w:tc>
          <w:tcPr>
            <w:tcW w:w="13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 xml:space="preserve">White </w:t>
            </w:r>
          </w:p>
        </w:tc>
        <w:tc>
          <w:tcPr>
            <w:tcW w:w="1024"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38</w:t>
            </w:r>
          </w:p>
        </w:tc>
        <w:tc>
          <w:tcPr>
            <w:tcW w:w="111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64.41</w:t>
            </w:r>
          </w:p>
        </w:tc>
        <w:tc>
          <w:tcPr>
            <w:tcW w:w="134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30</w:t>
            </w:r>
          </w:p>
        </w:tc>
        <w:tc>
          <w:tcPr>
            <w:tcW w:w="1366"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50.00</w:t>
            </w:r>
          </w:p>
        </w:tc>
        <w:tc>
          <w:tcPr>
            <w:tcW w:w="116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111</w:t>
            </w:r>
          </w:p>
        </w:tc>
        <w:tc>
          <w:tcPr>
            <w:tcW w:w="16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64.53</w:t>
            </w:r>
          </w:p>
        </w:tc>
      </w:tr>
      <w:tr w:rsidR="004C5D55" w:rsidRPr="00835DC8" w:rsidTr="004C5D55">
        <w:tc>
          <w:tcPr>
            <w:tcW w:w="13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BME</w:t>
            </w:r>
          </w:p>
        </w:tc>
        <w:tc>
          <w:tcPr>
            <w:tcW w:w="1024"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16</w:t>
            </w:r>
          </w:p>
        </w:tc>
        <w:tc>
          <w:tcPr>
            <w:tcW w:w="111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27.12</w:t>
            </w:r>
          </w:p>
        </w:tc>
        <w:tc>
          <w:tcPr>
            <w:tcW w:w="134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29</w:t>
            </w:r>
          </w:p>
        </w:tc>
        <w:tc>
          <w:tcPr>
            <w:tcW w:w="1366"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48.33</w:t>
            </w:r>
          </w:p>
        </w:tc>
        <w:tc>
          <w:tcPr>
            <w:tcW w:w="116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61</w:t>
            </w:r>
          </w:p>
        </w:tc>
        <w:tc>
          <w:tcPr>
            <w:tcW w:w="16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35.47</w:t>
            </w:r>
          </w:p>
        </w:tc>
      </w:tr>
      <w:tr w:rsidR="004C5D55" w:rsidRPr="00835DC8" w:rsidTr="004C5D55">
        <w:tc>
          <w:tcPr>
            <w:tcW w:w="13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Unknown</w:t>
            </w:r>
          </w:p>
        </w:tc>
        <w:tc>
          <w:tcPr>
            <w:tcW w:w="1024"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5</w:t>
            </w:r>
          </w:p>
        </w:tc>
        <w:tc>
          <w:tcPr>
            <w:tcW w:w="111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8.47</w:t>
            </w:r>
          </w:p>
        </w:tc>
        <w:tc>
          <w:tcPr>
            <w:tcW w:w="134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1</w:t>
            </w:r>
          </w:p>
        </w:tc>
        <w:tc>
          <w:tcPr>
            <w:tcW w:w="1366"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1.66</w:t>
            </w:r>
          </w:p>
        </w:tc>
        <w:tc>
          <w:tcPr>
            <w:tcW w:w="116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0</w:t>
            </w:r>
          </w:p>
        </w:tc>
        <w:tc>
          <w:tcPr>
            <w:tcW w:w="16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0.00</w:t>
            </w:r>
          </w:p>
        </w:tc>
      </w:tr>
      <w:tr w:rsidR="004C5D55" w:rsidRPr="00835DC8" w:rsidTr="004C5D55">
        <w:tc>
          <w:tcPr>
            <w:tcW w:w="1350"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Total</w:t>
            </w:r>
          </w:p>
        </w:tc>
        <w:tc>
          <w:tcPr>
            <w:tcW w:w="1024"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59</w:t>
            </w:r>
          </w:p>
        </w:tc>
        <w:tc>
          <w:tcPr>
            <w:tcW w:w="1110" w:type="dxa"/>
          </w:tcPr>
          <w:p w:rsidR="004C5D55" w:rsidRPr="00835DC8" w:rsidRDefault="004C5D55" w:rsidP="006D0197">
            <w:pPr>
              <w:rPr>
                <w:color w:val="365F91" w:themeColor="accent1" w:themeShade="BF"/>
                <w:sz w:val="24"/>
                <w:szCs w:val="24"/>
              </w:rPr>
            </w:pPr>
          </w:p>
        </w:tc>
        <w:tc>
          <w:tcPr>
            <w:tcW w:w="134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60</w:t>
            </w:r>
          </w:p>
        </w:tc>
        <w:tc>
          <w:tcPr>
            <w:tcW w:w="1366" w:type="dxa"/>
          </w:tcPr>
          <w:p w:rsidR="004C5D55" w:rsidRPr="00835DC8" w:rsidRDefault="004C5D55" w:rsidP="006D0197">
            <w:pPr>
              <w:rPr>
                <w:color w:val="365F91" w:themeColor="accent1" w:themeShade="BF"/>
                <w:sz w:val="24"/>
                <w:szCs w:val="24"/>
              </w:rPr>
            </w:pPr>
          </w:p>
        </w:tc>
        <w:tc>
          <w:tcPr>
            <w:tcW w:w="1168" w:type="dxa"/>
          </w:tcPr>
          <w:p w:rsidR="004C5D55" w:rsidRPr="00835DC8" w:rsidRDefault="004C5D55" w:rsidP="006D0197">
            <w:pPr>
              <w:rPr>
                <w:color w:val="365F91" w:themeColor="accent1" w:themeShade="BF"/>
                <w:sz w:val="24"/>
                <w:szCs w:val="24"/>
              </w:rPr>
            </w:pPr>
            <w:r w:rsidRPr="00835DC8">
              <w:rPr>
                <w:color w:val="365F91" w:themeColor="accent1" w:themeShade="BF"/>
                <w:sz w:val="24"/>
                <w:szCs w:val="24"/>
              </w:rPr>
              <w:t>172</w:t>
            </w:r>
          </w:p>
        </w:tc>
        <w:tc>
          <w:tcPr>
            <w:tcW w:w="1650" w:type="dxa"/>
          </w:tcPr>
          <w:p w:rsidR="004C5D55" w:rsidRPr="00835DC8" w:rsidRDefault="004C5D55" w:rsidP="006D0197">
            <w:pPr>
              <w:rPr>
                <w:color w:val="365F91" w:themeColor="accent1" w:themeShade="BF"/>
                <w:sz w:val="24"/>
                <w:szCs w:val="24"/>
              </w:rPr>
            </w:pPr>
          </w:p>
        </w:tc>
      </w:tr>
    </w:tbl>
    <w:p w:rsidR="00A85FEF" w:rsidRPr="00835DC8" w:rsidRDefault="00A85FEF" w:rsidP="000F00AD">
      <w:pPr>
        <w:spacing w:after="0"/>
        <w:rPr>
          <w:color w:val="365F91" w:themeColor="accent1" w:themeShade="BF"/>
          <w:sz w:val="28"/>
          <w:szCs w:val="28"/>
        </w:rPr>
      </w:pPr>
    </w:p>
    <w:p w:rsidR="004C5D55" w:rsidRPr="00835DC8" w:rsidRDefault="004C5D55" w:rsidP="000F00AD">
      <w:pPr>
        <w:spacing w:after="0"/>
        <w:rPr>
          <w:color w:val="365F91" w:themeColor="accent1" w:themeShade="BF"/>
          <w:sz w:val="28"/>
          <w:szCs w:val="28"/>
        </w:rPr>
      </w:pPr>
      <w:r w:rsidRPr="00835DC8">
        <w:rPr>
          <w:noProof/>
          <w:color w:val="365F91" w:themeColor="accent1" w:themeShade="BF"/>
          <w:sz w:val="28"/>
          <w:szCs w:val="28"/>
        </w:rPr>
        <w:drawing>
          <wp:inline distT="0" distB="0" distL="0" distR="0">
            <wp:extent cx="5486400" cy="32004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4C5D55" w:rsidRPr="00835DC8" w:rsidRDefault="004C5D55" w:rsidP="000F00AD">
      <w:pPr>
        <w:spacing w:after="0"/>
        <w:rPr>
          <w:color w:val="365F91" w:themeColor="accent1" w:themeShade="BF"/>
          <w:sz w:val="28"/>
          <w:szCs w:val="28"/>
        </w:rPr>
      </w:pPr>
    </w:p>
    <w:tbl>
      <w:tblPr>
        <w:tblStyle w:val="TableGrid"/>
        <w:tblW w:w="0" w:type="auto"/>
        <w:tblLook w:val="04A0" w:firstRow="1" w:lastRow="0" w:firstColumn="1" w:lastColumn="0" w:noHBand="0" w:noVBand="1"/>
      </w:tblPr>
      <w:tblGrid>
        <w:gridCol w:w="3005"/>
        <w:gridCol w:w="3005"/>
        <w:gridCol w:w="3006"/>
      </w:tblGrid>
      <w:tr w:rsidR="00440AAE" w:rsidRPr="00835DC8" w:rsidTr="009F782A">
        <w:tc>
          <w:tcPr>
            <w:tcW w:w="3005" w:type="dxa"/>
            <w:shd w:val="clear" w:color="auto" w:fill="F2F2F2" w:themeFill="background1" w:themeFillShade="F2"/>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lastRenderedPageBreak/>
              <w:t>BME</w:t>
            </w:r>
            <w:r w:rsidR="003D7E11" w:rsidRPr="00835DC8">
              <w:rPr>
                <w:color w:val="365F91" w:themeColor="accent1" w:themeShade="BF"/>
                <w:sz w:val="24"/>
                <w:szCs w:val="24"/>
              </w:rPr>
              <w:t xml:space="preserve"> staff</w:t>
            </w:r>
            <w:r w:rsidRPr="00835DC8">
              <w:rPr>
                <w:color w:val="365F91" w:themeColor="accent1" w:themeShade="BF"/>
                <w:sz w:val="24"/>
                <w:szCs w:val="24"/>
              </w:rPr>
              <w:t xml:space="preserve"> %</w:t>
            </w:r>
          </w:p>
        </w:tc>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2021</w:t>
            </w:r>
            <w:r w:rsidR="001A115B" w:rsidRPr="00835DC8">
              <w:rPr>
                <w:color w:val="365F91" w:themeColor="accent1" w:themeShade="BF"/>
                <w:sz w:val="24"/>
                <w:szCs w:val="24"/>
              </w:rPr>
              <w:t xml:space="preserve"> </w:t>
            </w:r>
          </w:p>
        </w:tc>
        <w:tc>
          <w:tcPr>
            <w:tcW w:w="3006"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2022</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Overall workforce</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12.48</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12.9</w:t>
            </w:r>
            <w:r w:rsidR="00317029" w:rsidRPr="00835DC8">
              <w:rPr>
                <w:color w:val="365F91" w:themeColor="accent1" w:themeShade="BF"/>
                <w:sz w:val="24"/>
                <w:szCs w:val="24"/>
              </w:rPr>
              <w:t>6</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Non-clinical cluster 1</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8.5</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8.72</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Non-clinical cluster 2</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7.3</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8.17</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Non-clinical cluster 3</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6.8</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7.14</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Non-clinical cluster 4</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5.6</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5.45</w:t>
            </w:r>
          </w:p>
        </w:tc>
      </w:tr>
      <w:tr w:rsidR="00440AAE" w:rsidRPr="00835DC8" w:rsidTr="001A115B">
        <w:trPr>
          <w:trHeight w:val="50"/>
        </w:trPr>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Clinical cluster 1</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17.5</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18.19</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Clinical cluster 2</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11.9</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12.49</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Clinical cluster 3</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5.0</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5.82</w:t>
            </w:r>
          </w:p>
        </w:tc>
      </w:tr>
      <w:tr w:rsidR="00440AAE" w:rsidRPr="00835DC8" w:rsidTr="00440AAE">
        <w:tc>
          <w:tcPr>
            <w:tcW w:w="3005" w:type="dxa"/>
          </w:tcPr>
          <w:p w:rsidR="00440AAE" w:rsidRPr="00835DC8" w:rsidRDefault="00440AAE" w:rsidP="000F00AD">
            <w:pPr>
              <w:rPr>
                <w:color w:val="365F91" w:themeColor="accent1" w:themeShade="BF"/>
                <w:sz w:val="24"/>
                <w:szCs w:val="24"/>
              </w:rPr>
            </w:pPr>
            <w:r w:rsidRPr="00835DC8">
              <w:rPr>
                <w:color w:val="365F91" w:themeColor="accent1" w:themeShade="BF"/>
                <w:sz w:val="24"/>
                <w:szCs w:val="24"/>
              </w:rPr>
              <w:t>Clinical cluster 4</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3.8</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3.41</w:t>
            </w:r>
          </w:p>
        </w:tc>
      </w:tr>
      <w:tr w:rsidR="00440AAE" w:rsidRPr="00835DC8" w:rsidTr="00440AAE">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Medical and dental trainees</w:t>
            </w:r>
          </w:p>
        </w:tc>
        <w:tc>
          <w:tcPr>
            <w:tcW w:w="3005"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21.3</w:t>
            </w:r>
          </w:p>
        </w:tc>
        <w:tc>
          <w:tcPr>
            <w:tcW w:w="3006" w:type="dxa"/>
          </w:tcPr>
          <w:p w:rsidR="00440AAE" w:rsidRPr="00835DC8" w:rsidRDefault="001A115B" w:rsidP="000F00AD">
            <w:pPr>
              <w:rPr>
                <w:color w:val="365F91" w:themeColor="accent1" w:themeShade="BF"/>
                <w:sz w:val="24"/>
                <w:szCs w:val="24"/>
              </w:rPr>
            </w:pPr>
            <w:r w:rsidRPr="00835DC8">
              <w:rPr>
                <w:color w:val="365F91" w:themeColor="accent1" w:themeShade="BF"/>
                <w:sz w:val="24"/>
                <w:szCs w:val="24"/>
              </w:rPr>
              <w:t>27.12</w:t>
            </w:r>
          </w:p>
        </w:tc>
      </w:tr>
      <w:tr w:rsidR="001A115B" w:rsidRPr="00835DC8" w:rsidTr="00440AAE">
        <w:tc>
          <w:tcPr>
            <w:tcW w:w="3005"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Non-consultants</w:t>
            </w:r>
          </w:p>
        </w:tc>
        <w:tc>
          <w:tcPr>
            <w:tcW w:w="3005"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58.2</w:t>
            </w:r>
          </w:p>
        </w:tc>
        <w:tc>
          <w:tcPr>
            <w:tcW w:w="3006"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48.33</w:t>
            </w:r>
          </w:p>
        </w:tc>
      </w:tr>
      <w:tr w:rsidR="001A115B" w:rsidRPr="00835DC8" w:rsidTr="00440AAE">
        <w:tc>
          <w:tcPr>
            <w:tcW w:w="3005"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Consultants</w:t>
            </w:r>
          </w:p>
        </w:tc>
        <w:tc>
          <w:tcPr>
            <w:tcW w:w="3005"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34.7</w:t>
            </w:r>
          </w:p>
        </w:tc>
        <w:tc>
          <w:tcPr>
            <w:tcW w:w="3006" w:type="dxa"/>
          </w:tcPr>
          <w:p w:rsidR="001A115B" w:rsidRPr="00835DC8" w:rsidRDefault="001A115B" w:rsidP="000F00AD">
            <w:pPr>
              <w:rPr>
                <w:color w:val="365F91" w:themeColor="accent1" w:themeShade="BF"/>
                <w:sz w:val="24"/>
                <w:szCs w:val="24"/>
              </w:rPr>
            </w:pPr>
            <w:r w:rsidRPr="00835DC8">
              <w:rPr>
                <w:color w:val="365F91" w:themeColor="accent1" w:themeShade="BF"/>
                <w:sz w:val="24"/>
                <w:szCs w:val="24"/>
              </w:rPr>
              <w:t>35.47</w:t>
            </w:r>
          </w:p>
        </w:tc>
      </w:tr>
    </w:tbl>
    <w:p w:rsidR="00440AAE" w:rsidRPr="00835DC8" w:rsidRDefault="00440AAE" w:rsidP="000F00AD">
      <w:pPr>
        <w:spacing w:after="0"/>
        <w:rPr>
          <w:color w:val="365F91" w:themeColor="accent1" w:themeShade="BF"/>
          <w:sz w:val="24"/>
          <w:szCs w:val="24"/>
        </w:rPr>
      </w:pPr>
    </w:p>
    <w:p w:rsidR="004C5D55" w:rsidRPr="00835DC8" w:rsidRDefault="00AF7BE7" w:rsidP="000F00AD">
      <w:pPr>
        <w:spacing w:after="0"/>
        <w:rPr>
          <w:color w:val="365F91" w:themeColor="accent1" w:themeShade="BF"/>
          <w:sz w:val="24"/>
          <w:szCs w:val="24"/>
        </w:rPr>
      </w:pPr>
      <w:r w:rsidRPr="00835DC8">
        <w:rPr>
          <w:color w:val="365F91" w:themeColor="accent1" w:themeShade="BF"/>
          <w:sz w:val="24"/>
          <w:szCs w:val="24"/>
        </w:rPr>
        <w:t>What the data tells us:</w:t>
      </w:r>
    </w:p>
    <w:p w:rsidR="00AF7BE7" w:rsidRPr="00835DC8" w:rsidRDefault="00AF7BE7" w:rsidP="00AF7BE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 xml:space="preserve">The overall percentage of staff </w:t>
      </w:r>
      <w:r w:rsidR="0067641D" w:rsidRPr="00835DC8">
        <w:rPr>
          <w:color w:val="365F91" w:themeColor="accent1" w:themeShade="BF"/>
          <w:sz w:val="24"/>
          <w:szCs w:val="24"/>
        </w:rPr>
        <w:t xml:space="preserve">from ethnic minority groups </w:t>
      </w:r>
      <w:r w:rsidRPr="00835DC8">
        <w:rPr>
          <w:color w:val="365F91" w:themeColor="accent1" w:themeShade="BF"/>
          <w:sz w:val="24"/>
          <w:szCs w:val="24"/>
        </w:rPr>
        <w:t>within the Trust's workforce has increased slightly, from 12.48% to 12.9</w:t>
      </w:r>
      <w:r w:rsidR="00317029" w:rsidRPr="00835DC8">
        <w:rPr>
          <w:color w:val="365F91" w:themeColor="accent1" w:themeShade="BF"/>
          <w:sz w:val="24"/>
          <w:szCs w:val="24"/>
        </w:rPr>
        <w:t>6</w:t>
      </w:r>
      <w:r w:rsidRPr="00835DC8">
        <w:rPr>
          <w:color w:val="365F91" w:themeColor="accent1" w:themeShade="BF"/>
          <w:sz w:val="24"/>
          <w:szCs w:val="24"/>
        </w:rPr>
        <w:t>%.</w:t>
      </w:r>
    </w:p>
    <w:p w:rsidR="00AF7BE7" w:rsidRPr="00835DC8" w:rsidRDefault="00AF7BE7" w:rsidP="00AF7BE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Our ethnicity recording has improved slightly, with only 1.27% of staff listed as "</w:t>
      </w:r>
      <w:r w:rsidR="0067641D" w:rsidRPr="00835DC8">
        <w:rPr>
          <w:color w:val="365F91" w:themeColor="accent1" w:themeShade="BF"/>
          <w:sz w:val="24"/>
          <w:szCs w:val="24"/>
        </w:rPr>
        <w:t>u</w:t>
      </w:r>
      <w:r w:rsidRPr="00835DC8">
        <w:rPr>
          <w:color w:val="365F91" w:themeColor="accent1" w:themeShade="BF"/>
          <w:sz w:val="24"/>
          <w:szCs w:val="24"/>
        </w:rPr>
        <w:t>nknown", down from 1.66% in 2021.</w:t>
      </w:r>
    </w:p>
    <w:p w:rsidR="00AF7BE7" w:rsidRPr="00835DC8" w:rsidRDefault="0067641D" w:rsidP="00AF7BE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S</w:t>
      </w:r>
      <w:r w:rsidR="00AF7BE7" w:rsidRPr="00835DC8">
        <w:rPr>
          <w:color w:val="365F91" w:themeColor="accent1" w:themeShade="BF"/>
          <w:sz w:val="24"/>
          <w:szCs w:val="24"/>
        </w:rPr>
        <w:t>taff</w:t>
      </w:r>
      <w:r w:rsidRPr="00835DC8">
        <w:rPr>
          <w:color w:val="365F91" w:themeColor="accent1" w:themeShade="BF"/>
          <w:sz w:val="24"/>
          <w:szCs w:val="24"/>
        </w:rPr>
        <w:t xml:space="preserve"> from ethnic minority groups</w:t>
      </w:r>
      <w:r w:rsidR="00AF7BE7" w:rsidRPr="00835DC8">
        <w:rPr>
          <w:color w:val="365F91" w:themeColor="accent1" w:themeShade="BF"/>
          <w:sz w:val="24"/>
          <w:szCs w:val="24"/>
        </w:rPr>
        <w:t xml:space="preserve"> are under-represented in Non-clinical roles, and over-represented in Clinical and Medical and Dental roles.</w:t>
      </w:r>
    </w:p>
    <w:p w:rsidR="00E51826" w:rsidRPr="00835DC8" w:rsidRDefault="00AF7BE7" w:rsidP="00AF7BE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 xml:space="preserve">Progression for staff </w:t>
      </w:r>
      <w:r w:rsidR="0067641D" w:rsidRPr="00835DC8">
        <w:rPr>
          <w:color w:val="365F91" w:themeColor="accent1" w:themeShade="BF"/>
          <w:sz w:val="24"/>
          <w:szCs w:val="24"/>
        </w:rPr>
        <w:t xml:space="preserve">from ethnic minority groups </w:t>
      </w:r>
      <w:r w:rsidRPr="00835DC8">
        <w:rPr>
          <w:color w:val="365F91" w:themeColor="accent1" w:themeShade="BF"/>
          <w:sz w:val="24"/>
          <w:szCs w:val="24"/>
        </w:rPr>
        <w:t xml:space="preserve">continues to be better in Non-clinical clusters 1-3, and in need of improvement in </w:t>
      </w:r>
      <w:r w:rsidR="00E51826" w:rsidRPr="00835DC8">
        <w:rPr>
          <w:color w:val="365F91" w:themeColor="accent1" w:themeShade="BF"/>
          <w:sz w:val="24"/>
          <w:szCs w:val="24"/>
        </w:rPr>
        <w:t>Clinical clusters 1-4.</w:t>
      </w:r>
    </w:p>
    <w:p w:rsidR="00AF7BE7" w:rsidRPr="00835DC8" w:rsidRDefault="00AF7BE7" w:rsidP="00E51826">
      <w:pPr>
        <w:spacing w:after="0"/>
        <w:rPr>
          <w:color w:val="365F91" w:themeColor="accent1" w:themeShade="BF"/>
          <w:sz w:val="24"/>
          <w:szCs w:val="24"/>
        </w:rPr>
      </w:pPr>
      <w:r w:rsidRPr="00835DC8">
        <w:rPr>
          <w:color w:val="365F91" w:themeColor="accent1" w:themeShade="BF"/>
          <w:sz w:val="24"/>
          <w:szCs w:val="24"/>
        </w:rPr>
        <w:t xml:space="preserve">  </w:t>
      </w:r>
    </w:p>
    <w:p w:rsidR="00402671" w:rsidRPr="00835DC8" w:rsidRDefault="00402671" w:rsidP="00E51826">
      <w:pPr>
        <w:spacing w:after="0"/>
        <w:rPr>
          <w:color w:val="365F91" w:themeColor="accent1" w:themeShade="BF"/>
          <w:sz w:val="24"/>
          <w:szCs w:val="24"/>
        </w:rPr>
      </w:pPr>
      <w:r w:rsidRPr="00835DC8">
        <w:rPr>
          <w:color w:val="365F91" w:themeColor="accent1" w:themeShade="BF"/>
          <w:sz w:val="24"/>
          <w:szCs w:val="24"/>
        </w:rPr>
        <w:t>The Trust's aspirations for BME leadership, 2018-2028</w:t>
      </w:r>
    </w:p>
    <w:tbl>
      <w:tblPr>
        <w:tblStyle w:val="TableGrid"/>
        <w:tblW w:w="0" w:type="auto"/>
        <w:tblLook w:val="04A0" w:firstRow="1" w:lastRow="0" w:firstColumn="1" w:lastColumn="0" w:noHBand="0" w:noVBand="1"/>
      </w:tblPr>
      <w:tblGrid>
        <w:gridCol w:w="750"/>
        <w:gridCol w:w="750"/>
        <w:gridCol w:w="750"/>
        <w:gridCol w:w="750"/>
        <w:gridCol w:w="752"/>
        <w:gridCol w:w="752"/>
        <w:gridCol w:w="752"/>
        <w:gridCol w:w="752"/>
        <w:gridCol w:w="752"/>
        <w:gridCol w:w="752"/>
        <w:gridCol w:w="752"/>
        <w:gridCol w:w="752"/>
      </w:tblGrid>
      <w:tr w:rsidR="00402671" w:rsidRPr="00835DC8" w:rsidTr="009F782A">
        <w:tc>
          <w:tcPr>
            <w:tcW w:w="750" w:type="dxa"/>
            <w:shd w:val="clear" w:color="auto" w:fill="F2F2F2" w:themeFill="background1" w:themeFillShade="F2"/>
          </w:tcPr>
          <w:p w:rsidR="00402671" w:rsidRPr="00835DC8" w:rsidRDefault="00402671" w:rsidP="00E51826">
            <w:pPr>
              <w:rPr>
                <w:color w:val="365F91" w:themeColor="accent1" w:themeShade="BF"/>
                <w:sz w:val="24"/>
                <w:szCs w:val="24"/>
              </w:rPr>
            </w:pP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2018</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2019</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2023</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2024</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2026</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2027</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2028</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8a</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13</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15</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17</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18</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24</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27</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29</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31</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8b</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5</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6</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7</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7</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8</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9</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13</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8c</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4</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4</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5</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6</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6</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6</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6</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7</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8d</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2</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3</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3</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4</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9</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0</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r>
      <w:tr w:rsidR="00402671" w:rsidRPr="00835DC8" w:rsidTr="00402671">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VSM</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0"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c>
          <w:tcPr>
            <w:tcW w:w="752" w:type="dxa"/>
          </w:tcPr>
          <w:p w:rsidR="00402671" w:rsidRPr="00835DC8" w:rsidRDefault="00402671" w:rsidP="00E51826">
            <w:pPr>
              <w:rPr>
                <w:color w:val="365F91" w:themeColor="accent1" w:themeShade="BF"/>
                <w:sz w:val="24"/>
                <w:szCs w:val="24"/>
              </w:rPr>
            </w:pPr>
            <w:r w:rsidRPr="00835DC8">
              <w:rPr>
                <w:color w:val="365F91" w:themeColor="accent1" w:themeShade="BF"/>
                <w:sz w:val="24"/>
                <w:szCs w:val="24"/>
              </w:rPr>
              <w:t>1</w:t>
            </w:r>
          </w:p>
        </w:tc>
      </w:tr>
    </w:tbl>
    <w:p w:rsidR="00925A9F" w:rsidRPr="00835DC8" w:rsidRDefault="00925A9F" w:rsidP="00E51826">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672"/>
        <w:gridCol w:w="1047"/>
        <w:gridCol w:w="1048"/>
        <w:gridCol w:w="1049"/>
        <w:gridCol w:w="1049"/>
        <w:gridCol w:w="1049"/>
        <w:gridCol w:w="1092"/>
        <w:gridCol w:w="1010"/>
      </w:tblGrid>
      <w:tr w:rsidR="0043741E" w:rsidRPr="00835DC8" w:rsidTr="009F782A">
        <w:tc>
          <w:tcPr>
            <w:tcW w:w="1165" w:type="dxa"/>
            <w:shd w:val="clear" w:color="auto" w:fill="F2F2F2" w:themeFill="background1" w:themeFillShade="F2"/>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Actual</w:t>
            </w:r>
            <w:r w:rsidR="003D7E11" w:rsidRPr="00835DC8">
              <w:rPr>
                <w:rFonts w:cstheme="minorHAnsi"/>
                <w:color w:val="365F91" w:themeColor="accent1" w:themeShade="BF"/>
                <w:sz w:val="24"/>
                <w:szCs w:val="24"/>
              </w:rPr>
              <w:t xml:space="preserve"> representation</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2018</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2019</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2020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2021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2022</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2022 ambition</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Gap</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8a</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13</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15</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16</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28</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20</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8b</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5</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7</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9</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10</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8c</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4</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5</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4</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3</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4</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5</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8d</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9</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r>
      <w:tr w:rsidR="0043741E" w:rsidRPr="00835DC8" w:rsidTr="0043741E">
        <w:tc>
          <w:tcPr>
            <w:tcW w:w="116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VSM</w:t>
            </w:r>
          </w:p>
        </w:tc>
        <w:tc>
          <w:tcPr>
            <w:tcW w:w="1130"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2</w:t>
            </w:r>
          </w:p>
        </w:tc>
        <w:tc>
          <w:tcPr>
            <w:tcW w:w="1131"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0</w:t>
            </w:r>
          </w:p>
        </w:tc>
        <w:tc>
          <w:tcPr>
            <w:tcW w:w="1092"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c>
          <w:tcPr>
            <w:tcW w:w="1105" w:type="dxa"/>
          </w:tcPr>
          <w:p w:rsidR="0043741E" w:rsidRPr="00835DC8" w:rsidRDefault="0043741E" w:rsidP="00E51826">
            <w:pPr>
              <w:rPr>
                <w:rFonts w:cstheme="minorHAnsi"/>
                <w:color w:val="365F91" w:themeColor="accent1" w:themeShade="BF"/>
                <w:sz w:val="24"/>
                <w:szCs w:val="24"/>
              </w:rPr>
            </w:pPr>
            <w:r w:rsidRPr="00835DC8">
              <w:rPr>
                <w:rFonts w:cstheme="minorHAnsi"/>
                <w:color w:val="365F91" w:themeColor="accent1" w:themeShade="BF"/>
                <w:sz w:val="24"/>
                <w:szCs w:val="24"/>
              </w:rPr>
              <w:t>-1</w:t>
            </w:r>
          </w:p>
        </w:tc>
      </w:tr>
    </w:tbl>
    <w:p w:rsidR="0043741E" w:rsidRPr="00835DC8" w:rsidRDefault="0043741E" w:rsidP="00E51826">
      <w:pPr>
        <w:spacing w:after="0"/>
        <w:rPr>
          <w:color w:val="365F91" w:themeColor="accent1" w:themeShade="BF"/>
          <w:sz w:val="24"/>
          <w:szCs w:val="24"/>
        </w:rPr>
      </w:pPr>
    </w:p>
    <w:p w:rsidR="0043741E" w:rsidRPr="00835DC8" w:rsidRDefault="0043741E" w:rsidP="00E51826">
      <w:pPr>
        <w:spacing w:after="0"/>
        <w:rPr>
          <w:color w:val="365F91" w:themeColor="accent1" w:themeShade="BF"/>
          <w:sz w:val="24"/>
          <w:szCs w:val="24"/>
        </w:rPr>
      </w:pPr>
      <w:r w:rsidRPr="00835DC8">
        <w:rPr>
          <w:color w:val="365F91" w:themeColor="accent1" w:themeShade="BF"/>
          <w:sz w:val="24"/>
          <w:szCs w:val="24"/>
        </w:rPr>
        <w:t>What the data tells us:</w:t>
      </w:r>
    </w:p>
    <w:p w:rsidR="0043741E" w:rsidRPr="00835DC8" w:rsidRDefault="0043741E" w:rsidP="0043741E">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lastRenderedPageBreak/>
        <w:t xml:space="preserve">Although the Trust currently has no staff </w:t>
      </w:r>
      <w:r w:rsidR="0067641D" w:rsidRPr="00835DC8">
        <w:rPr>
          <w:color w:val="365F91" w:themeColor="accent1" w:themeShade="BF"/>
          <w:sz w:val="24"/>
          <w:szCs w:val="24"/>
        </w:rPr>
        <w:t xml:space="preserve">from ethnic minority groups </w:t>
      </w:r>
      <w:r w:rsidRPr="00835DC8">
        <w:rPr>
          <w:color w:val="365F91" w:themeColor="accent1" w:themeShade="BF"/>
          <w:sz w:val="24"/>
          <w:szCs w:val="24"/>
        </w:rPr>
        <w:t xml:space="preserve">at </w:t>
      </w:r>
      <w:r w:rsidR="00E511CB" w:rsidRPr="00835DC8">
        <w:rPr>
          <w:color w:val="365F91" w:themeColor="accent1" w:themeShade="BF"/>
          <w:sz w:val="24"/>
          <w:szCs w:val="24"/>
        </w:rPr>
        <w:t>b</w:t>
      </w:r>
      <w:r w:rsidRPr="00835DC8">
        <w:rPr>
          <w:color w:val="365F91" w:themeColor="accent1" w:themeShade="BF"/>
          <w:sz w:val="24"/>
          <w:szCs w:val="24"/>
        </w:rPr>
        <w:t xml:space="preserve">and 9 or at VSM level, the number of </w:t>
      </w:r>
      <w:proofErr w:type="gramStart"/>
      <w:r w:rsidRPr="00835DC8">
        <w:rPr>
          <w:color w:val="365F91" w:themeColor="accent1" w:themeShade="BF"/>
          <w:sz w:val="24"/>
          <w:szCs w:val="24"/>
        </w:rPr>
        <w:t>staff</w:t>
      </w:r>
      <w:proofErr w:type="gramEnd"/>
      <w:r w:rsidRPr="00835DC8">
        <w:rPr>
          <w:color w:val="365F91" w:themeColor="accent1" w:themeShade="BF"/>
          <w:sz w:val="24"/>
          <w:szCs w:val="24"/>
        </w:rPr>
        <w:t xml:space="preserve"> </w:t>
      </w:r>
      <w:r w:rsidR="0067641D" w:rsidRPr="00835DC8">
        <w:rPr>
          <w:color w:val="365F91" w:themeColor="accent1" w:themeShade="BF"/>
          <w:sz w:val="24"/>
          <w:szCs w:val="24"/>
        </w:rPr>
        <w:t xml:space="preserve">from ethnic minority groups </w:t>
      </w:r>
      <w:r w:rsidRPr="00835DC8">
        <w:rPr>
          <w:color w:val="365F91" w:themeColor="accent1" w:themeShade="BF"/>
          <w:sz w:val="24"/>
          <w:szCs w:val="24"/>
        </w:rPr>
        <w:t xml:space="preserve">at Band 8a and above has increased from </w:t>
      </w:r>
      <w:r w:rsidR="00E511CB" w:rsidRPr="00835DC8">
        <w:rPr>
          <w:color w:val="365F91" w:themeColor="accent1" w:themeShade="BF"/>
          <w:sz w:val="24"/>
          <w:szCs w:val="24"/>
        </w:rPr>
        <w:t>34 in 2021 to 44 in 2022.</w:t>
      </w:r>
    </w:p>
    <w:p w:rsidR="0043741E" w:rsidRPr="00835DC8" w:rsidRDefault="00E511CB" w:rsidP="0043741E">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 xml:space="preserve">There are 28 members of staff </w:t>
      </w:r>
      <w:r w:rsidR="0067641D" w:rsidRPr="00835DC8">
        <w:rPr>
          <w:color w:val="365F91" w:themeColor="accent1" w:themeShade="BF"/>
          <w:sz w:val="24"/>
          <w:szCs w:val="24"/>
        </w:rPr>
        <w:t xml:space="preserve">from ethnic minority groups </w:t>
      </w:r>
      <w:r w:rsidRPr="00835DC8">
        <w:rPr>
          <w:color w:val="365F91" w:themeColor="accent1" w:themeShade="BF"/>
          <w:sz w:val="24"/>
          <w:szCs w:val="24"/>
        </w:rPr>
        <w:t>at band 8a (not projected until 2027), 10 at band 8b (not projected until 2024), and 2 at band 8d (not projected until 2023).</w:t>
      </w:r>
    </w:p>
    <w:p w:rsidR="00E511CB" w:rsidRPr="00835DC8" w:rsidRDefault="00E511CB" w:rsidP="00E511CB">
      <w:pPr>
        <w:spacing w:after="0"/>
        <w:rPr>
          <w:color w:val="365F91" w:themeColor="accent1" w:themeShade="BF"/>
          <w:sz w:val="24"/>
          <w:szCs w:val="24"/>
        </w:rPr>
      </w:pPr>
    </w:p>
    <w:p w:rsidR="00E511CB" w:rsidRPr="00835DC8" w:rsidRDefault="00E511CB" w:rsidP="00E511CB">
      <w:pPr>
        <w:spacing w:after="0"/>
        <w:rPr>
          <w:color w:val="365F91" w:themeColor="accent1" w:themeShade="BF"/>
          <w:sz w:val="36"/>
          <w:szCs w:val="36"/>
        </w:rPr>
      </w:pPr>
      <w:r w:rsidRPr="00835DC8">
        <w:rPr>
          <w:color w:val="365F91" w:themeColor="accent1" w:themeShade="BF"/>
          <w:sz w:val="36"/>
          <w:szCs w:val="36"/>
        </w:rPr>
        <w:t>Indicator 2</w:t>
      </w:r>
    </w:p>
    <w:p w:rsidR="00E511CB" w:rsidRPr="00835DC8" w:rsidRDefault="0067641D" w:rsidP="00E511CB">
      <w:pPr>
        <w:spacing w:after="0"/>
        <w:rPr>
          <w:color w:val="365F91" w:themeColor="accent1" w:themeShade="BF"/>
          <w:sz w:val="24"/>
          <w:szCs w:val="24"/>
        </w:rPr>
      </w:pPr>
      <w:bookmarkStart w:id="0" w:name="_Hlk113012487"/>
      <w:r w:rsidRPr="00835DC8">
        <w:rPr>
          <w:color w:val="365F91" w:themeColor="accent1" w:themeShade="BF"/>
          <w:sz w:val="24"/>
          <w:szCs w:val="24"/>
        </w:rPr>
        <w:t>Relative likelihood of staff being appointed from shortlisting across all posts.</w:t>
      </w:r>
    </w:p>
    <w:bookmarkEnd w:id="0"/>
    <w:p w:rsidR="0067641D" w:rsidRPr="00835DC8" w:rsidRDefault="0067641D" w:rsidP="00E511CB">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3D7E11" w:rsidRPr="00835DC8" w:rsidTr="00C27100">
        <w:tc>
          <w:tcPr>
            <w:tcW w:w="2254" w:type="dxa"/>
            <w:shd w:val="clear" w:color="auto" w:fill="F2F2F2" w:themeFill="background1" w:themeFillShade="F2"/>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2022 recruitment</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Shortlisted</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Appointed</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Likelihood</w:t>
            </w:r>
          </w:p>
        </w:tc>
      </w:tr>
      <w:tr w:rsidR="003D7E11" w:rsidRPr="00835DC8" w:rsidTr="003D7E11">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White</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6,335</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1,710</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0.27</w:t>
            </w:r>
          </w:p>
        </w:tc>
      </w:tr>
      <w:tr w:rsidR="003D7E11" w:rsidRPr="00835DC8" w:rsidTr="003D7E11">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BME</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4,162</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340</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0.08</w:t>
            </w:r>
          </w:p>
        </w:tc>
      </w:tr>
      <w:tr w:rsidR="003D7E11" w:rsidRPr="00835DC8" w:rsidTr="003D7E11">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Unknown</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203</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116</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0.57</w:t>
            </w:r>
          </w:p>
        </w:tc>
      </w:tr>
      <w:tr w:rsidR="003D7E11" w:rsidRPr="00835DC8" w:rsidTr="003D7E11">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Total</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10,700</w:t>
            </w:r>
          </w:p>
        </w:tc>
        <w:tc>
          <w:tcPr>
            <w:tcW w:w="2254" w:type="dxa"/>
          </w:tcPr>
          <w:p w:rsidR="003D7E11" w:rsidRPr="00835DC8" w:rsidRDefault="003D7E11" w:rsidP="00E511CB">
            <w:pPr>
              <w:rPr>
                <w:color w:val="365F91" w:themeColor="accent1" w:themeShade="BF"/>
                <w:sz w:val="24"/>
                <w:szCs w:val="24"/>
              </w:rPr>
            </w:pPr>
            <w:r w:rsidRPr="00835DC8">
              <w:rPr>
                <w:color w:val="365F91" w:themeColor="accent1" w:themeShade="BF"/>
                <w:sz w:val="24"/>
                <w:szCs w:val="24"/>
              </w:rPr>
              <w:t>2,166</w:t>
            </w:r>
          </w:p>
        </w:tc>
        <w:tc>
          <w:tcPr>
            <w:tcW w:w="2254" w:type="dxa"/>
          </w:tcPr>
          <w:p w:rsidR="003D7E11" w:rsidRPr="00835DC8" w:rsidRDefault="003D7E11" w:rsidP="00E511CB">
            <w:pPr>
              <w:rPr>
                <w:color w:val="365F91" w:themeColor="accent1" w:themeShade="BF"/>
                <w:sz w:val="24"/>
                <w:szCs w:val="24"/>
              </w:rPr>
            </w:pPr>
          </w:p>
        </w:tc>
      </w:tr>
    </w:tbl>
    <w:p w:rsidR="0067641D" w:rsidRPr="00835DC8" w:rsidRDefault="0067641D" w:rsidP="00E511CB">
      <w:pPr>
        <w:spacing w:after="0"/>
        <w:rPr>
          <w:color w:val="365F91" w:themeColor="accent1" w:themeShade="BF"/>
          <w:sz w:val="24"/>
          <w:szCs w:val="24"/>
        </w:rPr>
      </w:pPr>
    </w:p>
    <w:p w:rsidR="006D0197" w:rsidRPr="00835DC8" w:rsidRDefault="006D0197" w:rsidP="00E511CB">
      <w:pPr>
        <w:spacing w:after="0"/>
        <w:rPr>
          <w:color w:val="365F91" w:themeColor="accent1" w:themeShade="BF"/>
          <w:sz w:val="24"/>
          <w:szCs w:val="24"/>
        </w:rPr>
      </w:pPr>
      <w:r w:rsidRPr="00835DC8">
        <w:rPr>
          <w:noProof/>
          <w:color w:val="365F91" w:themeColor="accent1" w:themeShade="BF"/>
          <w:sz w:val="24"/>
          <w:szCs w:val="24"/>
        </w:rPr>
        <w:drawing>
          <wp:inline distT="0" distB="0" distL="0" distR="0" wp14:anchorId="78BFC50C" wp14:editId="6FF76132">
            <wp:extent cx="5486400" cy="32004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6D0197" w:rsidRPr="00835DC8" w:rsidRDefault="006D0197" w:rsidP="00E511CB">
      <w:pPr>
        <w:spacing w:after="0"/>
        <w:rPr>
          <w:color w:val="365F91" w:themeColor="accent1" w:themeShade="BF"/>
          <w:sz w:val="24"/>
          <w:szCs w:val="24"/>
        </w:rPr>
      </w:pPr>
    </w:p>
    <w:p w:rsidR="003D7E11" w:rsidRPr="00835DC8" w:rsidRDefault="00D101DA" w:rsidP="00E511CB">
      <w:pPr>
        <w:spacing w:after="0"/>
        <w:rPr>
          <w:color w:val="365F91" w:themeColor="accent1" w:themeShade="BF"/>
          <w:sz w:val="24"/>
          <w:szCs w:val="24"/>
        </w:rPr>
      </w:pPr>
      <w:r w:rsidRPr="00835DC8">
        <w:rPr>
          <w:color w:val="365F91" w:themeColor="accent1" w:themeShade="BF"/>
          <w:sz w:val="24"/>
          <w:szCs w:val="24"/>
        </w:rPr>
        <w:t>What the data tells us:</w:t>
      </w:r>
    </w:p>
    <w:p w:rsidR="00D101DA" w:rsidRPr="00835DC8" w:rsidRDefault="00D101DA" w:rsidP="00D101DA">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White staff are currently 3.38 times more likely to be appointed from shortlisting than staff from ethnic minority groups.</w:t>
      </w:r>
    </w:p>
    <w:p w:rsidR="00D101DA" w:rsidRPr="00835DC8" w:rsidRDefault="00D101DA" w:rsidP="00D101DA">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This is an increase from previous years, and suggests bias within our current interview processes.</w:t>
      </w:r>
    </w:p>
    <w:p w:rsidR="00456994" w:rsidRPr="00835DC8" w:rsidRDefault="00456994" w:rsidP="00D101DA">
      <w:pPr>
        <w:spacing w:after="0"/>
        <w:rPr>
          <w:color w:val="365F91" w:themeColor="accent1" w:themeShade="BF"/>
          <w:sz w:val="24"/>
          <w:szCs w:val="24"/>
        </w:rPr>
      </w:pPr>
    </w:p>
    <w:p w:rsidR="00D101DA" w:rsidRPr="00835DC8" w:rsidRDefault="00456994" w:rsidP="00D101DA">
      <w:pPr>
        <w:spacing w:after="0"/>
        <w:rPr>
          <w:color w:val="365F91" w:themeColor="accent1" w:themeShade="BF"/>
          <w:sz w:val="24"/>
          <w:szCs w:val="24"/>
        </w:rPr>
      </w:pPr>
      <w:r w:rsidRPr="00835DC8">
        <w:rPr>
          <w:color w:val="365F91" w:themeColor="accent1" w:themeShade="BF"/>
          <w:sz w:val="24"/>
          <w:szCs w:val="24"/>
        </w:rPr>
        <w:t xml:space="preserve">Indicator 2 will be given focused actions on our </w:t>
      </w:r>
      <w:r w:rsidR="00660707" w:rsidRPr="00835DC8">
        <w:rPr>
          <w:color w:val="365F91" w:themeColor="accent1" w:themeShade="BF"/>
          <w:sz w:val="24"/>
          <w:szCs w:val="24"/>
        </w:rPr>
        <w:t xml:space="preserve">2022 </w:t>
      </w:r>
      <w:r w:rsidRPr="00835DC8">
        <w:rPr>
          <w:color w:val="365F91" w:themeColor="accent1" w:themeShade="BF"/>
          <w:sz w:val="24"/>
          <w:szCs w:val="24"/>
        </w:rPr>
        <w:t>WRES action plan</w:t>
      </w:r>
      <w:r w:rsidR="00642C14">
        <w:rPr>
          <w:color w:val="365F91" w:themeColor="accent1" w:themeShade="BF"/>
          <w:sz w:val="24"/>
          <w:szCs w:val="24"/>
        </w:rPr>
        <w:t>, including updated training for recruiting managers, Trust-wide adoption of interview questions focused on equality, diversity and inclusion, and piloting of increased diversity o</w:t>
      </w:r>
      <w:r w:rsidR="00F253A5">
        <w:rPr>
          <w:color w:val="365F91" w:themeColor="accent1" w:themeShade="BF"/>
          <w:sz w:val="24"/>
          <w:szCs w:val="24"/>
        </w:rPr>
        <w:t>f</w:t>
      </w:r>
      <w:r w:rsidR="00642C14">
        <w:rPr>
          <w:color w:val="365F91" w:themeColor="accent1" w:themeShade="BF"/>
          <w:sz w:val="24"/>
          <w:szCs w:val="24"/>
        </w:rPr>
        <w:t xml:space="preserve"> interview and </w:t>
      </w:r>
      <w:r w:rsidR="00642C14">
        <w:rPr>
          <w:color w:val="365F91" w:themeColor="accent1" w:themeShade="BF"/>
          <w:sz w:val="24"/>
          <w:szCs w:val="24"/>
        </w:rPr>
        <w:lastRenderedPageBreak/>
        <w:t>stakeholder panels</w:t>
      </w:r>
      <w:r w:rsidRPr="00835DC8">
        <w:rPr>
          <w:color w:val="365F91" w:themeColor="accent1" w:themeShade="BF"/>
          <w:sz w:val="24"/>
          <w:szCs w:val="24"/>
        </w:rPr>
        <w:t>. W</w:t>
      </w:r>
      <w:r w:rsidR="00D101DA" w:rsidRPr="00835DC8">
        <w:rPr>
          <w:color w:val="365F91" w:themeColor="accent1" w:themeShade="BF"/>
          <w:sz w:val="24"/>
          <w:szCs w:val="24"/>
        </w:rPr>
        <w:t>e have appointed an Inclusive Recruitment Advisor - a brand new post within the Trust - who will be working closely with the Equality, Diversity and Inclusion team to conduct an end to end review of our recruitment and selection processes.</w:t>
      </w:r>
    </w:p>
    <w:p w:rsidR="00D101DA" w:rsidRPr="00835DC8" w:rsidRDefault="00D101DA" w:rsidP="00D101DA">
      <w:pPr>
        <w:spacing w:after="0"/>
        <w:rPr>
          <w:color w:val="365F91" w:themeColor="accent1" w:themeShade="BF"/>
          <w:sz w:val="24"/>
          <w:szCs w:val="24"/>
        </w:rPr>
      </w:pPr>
    </w:p>
    <w:p w:rsidR="006E15E6" w:rsidRPr="00835DC8" w:rsidRDefault="006E15E6" w:rsidP="00D101DA">
      <w:pPr>
        <w:spacing w:after="0"/>
        <w:rPr>
          <w:color w:val="365F91" w:themeColor="accent1" w:themeShade="BF"/>
          <w:sz w:val="36"/>
          <w:szCs w:val="36"/>
        </w:rPr>
      </w:pPr>
      <w:r w:rsidRPr="00835DC8">
        <w:rPr>
          <w:color w:val="365F91" w:themeColor="accent1" w:themeShade="BF"/>
          <w:sz w:val="36"/>
          <w:szCs w:val="36"/>
        </w:rPr>
        <w:t>Indicator 3</w:t>
      </w:r>
    </w:p>
    <w:p w:rsidR="006E15E6" w:rsidRPr="00835DC8" w:rsidRDefault="0070113B" w:rsidP="0070113B">
      <w:pPr>
        <w:spacing w:after="0"/>
        <w:rPr>
          <w:color w:val="365F91" w:themeColor="accent1" w:themeShade="BF"/>
          <w:sz w:val="24"/>
          <w:szCs w:val="24"/>
        </w:rPr>
      </w:pPr>
      <w:r w:rsidRPr="00835DC8">
        <w:rPr>
          <w:color w:val="365F91" w:themeColor="accent1" w:themeShade="BF"/>
          <w:sz w:val="24"/>
          <w:szCs w:val="24"/>
        </w:rPr>
        <w:t>Relative likelihood of staff entering the formal disciplinary process, as measured by entry into a formal disciplinary investigation.</w:t>
      </w:r>
    </w:p>
    <w:p w:rsidR="006D0197" w:rsidRPr="00835DC8" w:rsidRDefault="006D0197" w:rsidP="0070113B">
      <w:pPr>
        <w:spacing w:after="0"/>
        <w:rPr>
          <w:color w:val="365F91" w:themeColor="accent1" w:themeShade="BF"/>
          <w:sz w:val="24"/>
          <w:szCs w:val="24"/>
        </w:rPr>
      </w:pPr>
    </w:p>
    <w:p w:rsidR="006D0197" w:rsidRPr="00835DC8" w:rsidRDefault="006D0197" w:rsidP="006D0197">
      <w:pPr>
        <w:spacing w:after="0"/>
        <w:rPr>
          <w:color w:val="365F91" w:themeColor="accent1" w:themeShade="BF"/>
          <w:sz w:val="24"/>
          <w:szCs w:val="24"/>
        </w:rPr>
      </w:pPr>
      <w:r w:rsidRPr="00835DC8">
        <w:rPr>
          <w:color w:val="365F91" w:themeColor="accent1" w:themeShade="BF"/>
          <w:sz w:val="24"/>
          <w:szCs w:val="24"/>
        </w:rPr>
        <w:t xml:space="preserve">Note: this data is now taken at year end, giving the number of </w:t>
      </w:r>
      <w:proofErr w:type="gramStart"/>
      <w:r w:rsidRPr="00835DC8">
        <w:rPr>
          <w:color w:val="365F91" w:themeColor="accent1" w:themeShade="BF"/>
          <w:sz w:val="24"/>
          <w:szCs w:val="24"/>
        </w:rPr>
        <w:t>staff</w:t>
      </w:r>
      <w:proofErr w:type="gramEnd"/>
      <w:r w:rsidRPr="00835DC8">
        <w:rPr>
          <w:color w:val="365F91" w:themeColor="accent1" w:themeShade="BF"/>
          <w:sz w:val="24"/>
          <w:szCs w:val="24"/>
        </w:rPr>
        <w:t xml:space="preserve"> who entered into formal disciplinary processes between 1</w:t>
      </w:r>
      <w:r w:rsidRPr="00835DC8">
        <w:rPr>
          <w:color w:val="365F91" w:themeColor="accent1" w:themeShade="BF"/>
          <w:sz w:val="24"/>
          <w:szCs w:val="24"/>
          <w:vertAlign w:val="superscript"/>
        </w:rPr>
        <w:t>st</w:t>
      </w:r>
      <w:r w:rsidRPr="00835DC8">
        <w:rPr>
          <w:color w:val="365F91" w:themeColor="accent1" w:themeShade="BF"/>
          <w:sz w:val="24"/>
          <w:szCs w:val="24"/>
        </w:rPr>
        <w:t xml:space="preserve"> April 2021 and 31</w:t>
      </w:r>
      <w:r w:rsidRPr="00835DC8">
        <w:rPr>
          <w:color w:val="365F91" w:themeColor="accent1" w:themeShade="BF"/>
          <w:sz w:val="24"/>
          <w:szCs w:val="24"/>
          <w:vertAlign w:val="superscript"/>
        </w:rPr>
        <w:t>st</w:t>
      </w:r>
      <w:r w:rsidRPr="00835DC8">
        <w:rPr>
          <w:color w:val="365F91" w:themeColor="accent1" w:themeShade="BF"/>
          <w:sz w:val="24"/>
          <w:szCs w:val="24"/>
        </w:rPr>
        <w:t xml:space="preserve"> March 2022. In previous years, the data was presented from an average of the past two years.</w:t>
      </w:r>
    </w:p>
    <w:p w:rsidR="0070113B" w:rsidRPr="00835DC8" w:rsidRDefault="0070113B" w:rsidP="0070113B">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186EFD" w:rsidRPr="00835DC8" w:rsidTr="009F782A">
        <w:tc>
          <w:tcPr>
            <w:tcW w:w="2254" w:type="dxa"/>
            <w:shd w:val="clear" w:color="auto" w:fill="F2F2F2" w:themeFill="background1" w:themeFillShade="F2"/>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2022 disciplinary cases</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Workforce total</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Disciplinary cases</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Likelihood</w:t>
            </w:r>
          </w:p>
        </w:tc>
      </w:tr>
      <w:tr w:rsidR="00186EFD" w:rsidRPr="00835DC8" w:rsidTr="00186EFD">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White</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4,793</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20</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0.00417</w:t>
            </w:r>
          </w:p>
        </w:tc>
      </w:tr>
      <w:tr w:rsidR="00186EFD" w:rsidRPr="00835DC8" w:rsidTr="00186EFD">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BME</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724</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5</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0.00691</w:t>
            </w:r>
          </w:p>
        </w:tc>
      </w:tr>
      <w:tr w:rsidR="00186EFD" w:rsidRPr="00835DC8" w:rsidTr="00186EFD">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Unknown</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71</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1</w:t>
            </w:r>
          </w:p>
        </w:tc>
        <w:tc>
          <w:tcPr>
            <w:tcW w:w="2254" w:type="dxa"/>
          </w:tcPr>
          <w:p w:rsidR="00186EFD" w:rsidRPr="00835DC8" w:rsidRDefault="00186EFD" w:rsidP="0070113B">
            <w:pPr>
              <w:rPr>
                <w:color w:val="365F91" w:themeColor="accent1" w:themeShade="BF"/>
                <w:sz w:val="24"/>
                <w:szCs w:val="24"/>
              </w:rPr>
            </w:pPr>
            <w:r w:rsidRPr="00835DC8">
              <w:rPr>
                <w:color w:val="365F91" w:themeColor="accent1" w:themeShade="BF"/>
                <w:sz w:val="24"/>
                <w:szCs w:val="24"/>
              </w:rPr>
              <w:t>0.01408</w:t>
            </w:r>
          </w:p>
        </w:tc>
      </w:tr>
    </w:tbl>
    <w:p w:rsidR="0070113B" w:rsidRPr="00835DC8" w:rsidRDefault="0070113B" w:rsidP="0070113B">
      <w:pPr>
        <w:spacing w:after="0"/>
        <w:rPr>
          <w:color w:val="365F91" w:themeColor="accent1" w:themeShade="BF"/>
          <w:sz w:val="24"/>
          <w:szCs w:val="24"/>
        </w:rPr>
      </w:pPr>
    </w:p>
    <w:p w:rsidR="00660707" w:rsidRPr="00835DC8" w:rsidRDefault="00660707" w:rsidP="0070113B">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60707" w:rsidRPr="00835DC8" w:rsidRDefault="00660707" w:rsidP="0070113B">
      <w:pPr>
        <w:spacing w:after="0"/>
        <w:rPr>
          <w:color w:val="365F91" w:themeColor="accent1" w:themeShade="BF"/>
          <w:sz w:val="24"/>
          <w:szCs w:val="24"/>
        </w:rPr>
      </w:pPr>
    </w:p>
    <w:p w:rsidR="006D0197" w:rsidRPr="00835DC8" w:rsidRDefault="00C03C26" w:rsidP="0070113B">
      <w:pPr>
        <w:spacing w:after="0"/>
        <w:rPr>
          <w:color w:val="365F91" w:themeColor="accent1" w:themeShade="BF"/>
          <w:sz w:val="24"/>
          <w:szCs w:val="24"/>
        </w:rPr>
      </w:pPr>
      <w:r w:rsidRPr="00835DC8">
        <w:rPr>
          <w:color w:val="365F91" w:themeColor="accent1" w:themeShade="BF"/>
          <w:sz w:val="24"/>
          <w:szCs w:val="24"/>
        </w:rPr>
        <w:t>What the data tells us:</w:t>
      </w:r>
    </w:p>
    <w:p w:rsidR="00C03C26" w:rsidRPr="00835DC8" w:rsidRDefault="00C03C26" w:rsidP="00C03C26">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 xml:space="preserve">Staff from ethnic minority groups are currently 1.66 times more likely to enter into </w:t>
      </w:r>
      <w:r w:rsidR="003E304E" w:rsidRPr="00835DC8">
        <w:rPr>
          <w:color w:val="365F91" w:themeColor="accent1" w:themeShade="BF"/>
          <w:sz w:val="24"/>
          <w:szCs w:val="24"/>
        </w:rPr>
        <w:t xml:space="preserve">formal </w:t>
      </w:r>
      <w:r w:rsidRPr="00835DC8">
        <w:rPr>
          <w:color w:val="365F91" w:themeColor="accent1" w:themeShade="BF"/>
          <w:sz w:val="24"/>
          <w:szCs w:val="24"/>
        </w:rPr>
        <w:t>discipli</w:t>
      </w:r>
      <w:r w:rsidR="00293658" w:rsidRPr="00835DC8">
        <w:rPr>
          <w:color w:val="365F91" w:themeColor="accent1" w:themeShade="BF"/>
          <w:sz w:val="24"/>
          <w:szCs w:val="24"/>
        </w:rPr>
        <w:t xml:space="preserve">nary processes than </w:t>
      </w:r>
      <w:r w:rsidR="00660707" w:rsidRPr="00835DC8">
        <w:rPr>
          <w:color w:val="365F91" w:themeColor="accent1" w:themeShade="BF"/>
          <w:sz w:val="24"/>
          <w:szCs w:val="24"/>
        </w:rPr>
        <w:t>white staff.</w:t>
      </w:r>
    </w:p>
    <w:p w:rsidR="00660707" w:rsidRPr="00835DC8" w:rsidRDefault="00660707" w:rsidP="00C03C26">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This is a significant decrease from the previous 2019-21 average.</w:t>
      </w:r>
    </w:p>
    <w:p w:rsidR="00660707" w:rsidRPr="00835DC8" w:rsidRDefault="00660707" w:rsidP="00660707">
      <w:pPr>
        <w:spacing w:after="0"/>
        <w:rPr>
          <w:color w:val="365F91" w:themeColor="accent1" w:themeShade="BF"/>
          <w:sz w:val="24"/>
          <w:szCs w:val="24"/>
        </w:rPr>
      </w:pPr>
    </w:p>
    <w:p w:rsidR="00660707" w:rsidRDefault="00660707" w:rsidP="00660707">
      <w:pPr>
        <w:spacing w:after="0"/>
        <w:rPr>
          <w:color w:val="365F91" w:themeColor="accent1" w:themeShade="BF"/>
          <w:sz w:val="24"/>
          <w:szCs w:val="24"/>
        </w:rPr>
      </w:pPr>
      <w:r w:rsidRPr="00835DC8">
        <w:rPr>
          <w:color w:val="365F91" w:themeColor="accent1" w:themeShade="BF"/>
          <w:sz w:val="24"/>
          <w:szCs w:val="24"/>
        </w:rPr>
        <w:lastRenderedPageBreak/>
        <w:t>We will continue to build upon the actions laid out in our 2021 WRES action plan around unconscious bias training for our Employee Relations team, mediation training across our services, and informal resolution data collection and analysis.</w:t>
      </w:r>
    </w:p>
    <w:p w:rsidR="00802302" w:rsidRPr="00835DC8" w:rsidRDefault="00802302" w:rsidP="00660707">
      <w:pPr>
        <w:spacing w:after="0"/>
        <w:rPr>
          <w:color w:val="365F91" w:themeColor="accent1" w:themeShade="BF"/>
          <w:sz w:val="24"/>
          <w:szCs w:val="24"/>
        </w:rPr>
      </w:pPr>
    </w:p>
    <w:p w:rsidR="009469B6" w:rsidRPr="00835DC8" w:rsidRDefault="009469B6" w:rsidP="00660707">
      <w:pPr>
        <w:spacing w:after="0"/>
        <w:rPr>
          <w:color w:val="365F91" w:themeColor="accent1" w:themeShade="BF"/>
          <w:sz w:val="36"/>
          <w:szCs w:val="36"/>
        </w:rPr>
      </w:pPr>
      <w:r w:rsidRPr="00835DC8">
        <w:rPr>
          <w:color w:val="365F91" w:themeColor="accent1" w:themeShade="BF"/>
          <w:sz w:val="36"/>
          <w:szCs w:val="36"/>
        </w:rPr>
        <w:t>Indicator 4</w:t>
      </w:r>
    </w:p>
    <w:p w:rsidR="009469B6" w:rsidRPr="00835DC8" w:rsidRDefault="000F4959" w:rsidP="000F4959">
      <w:pPr>
        <w:spacing w:after="0"/>
        <w:rPr>
          <w:color w:val="365F91" w:themeColor="accent1" w:themeShade="BF"/>
          <w:sz w:val="24"/>
          <w:szCs w:val="24"/>
        </w:rPr>
      </w:pPr>
      <w:r w:rsidRPr="00835DC8">
        <w:rPr>
          <w:color w:val="365F91" w:themeColor="accent1" w:themeShade="BF"/>
          <w:sz w:val="24"/>
          <w:szCs w:val="24"/>
        </w:rPr>
        <w:t>Relative likelihood of staff accessing non-mandatory training and Con</w:t>
      </w:r>
      <w:r w:rsidR="001016FA" w:rsidRPr="00835DC8">
        <w:rPr>
          <w:color w:val="365F91" w:themeColor="accent1" w:themeShade="BF"/>
          <w:sz w:val="24"/>
          <w:szCs w:val="24"/>
        </w:rPr>
        <w:t>tinuing Professional Development (</w:t>
      </w:r>
      <w:r w:rsidRPr="00835DC8">
        <w:rPr>
          <w:color w:val="365F91" w:themeColor="accent1" w:themeShade="BF"/>
          <w:sz w:val="24"/>
          <w:szCs w:val="24"/>
        </w:rPr>
        <w:t>CPD</w:t>
      </w:r>
      <w:r w:rsidR="001016FA" w:rsidRPr="00835DC8">
        <w:rPr>
          <w:color w:val="365F91" w:themeColor="accent1" w:themeShade="BF"/>
          <w:sz w:val="24"/>
          <w:szCs w:val="24"/>
        </w:rPr>
        <w:t>).</w:t>
      </w:r>
    </w:p>
    <w:p w:rsidR="001016FA" w:rsidRPr="00835DC8" w:rsidRDefault="001016FA" w:rsidP="000F4959">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1016FA" w:rsidRPr="00835DC8" w:rsidTr="009F782A">
        <w:tc>
          <w:tcPr>
            <w:tcW w:w="2254" w:type="dxa"/>
            <w:shd w:val="clear" w:color="auto" w:fill="F2F2F2" w:themeFill="background1" w:themeFillShade="F2"/>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2022 training and CPD</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Workforce total</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Training and CPD headcount</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Likelihood</w:t>
            </w:r>
          </w:p>
        </w:tc>
      </w:tr>
      <w:tr w:rsidR="001016FA" w:rsidRPr="00835DC8" w:rsidTr="001016FA">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White</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4,793</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209</w:t>
            </w:r>
          </w:p>
        </w:tc>
        <w:tc>
          <w:tcPr>
            <w:tcW w:w="2254" w:type="dxa"/>
          </w:tcPr>
          <w:p w:rsidR="001016FA" w:rsidRPr="00835DC8" w:rsidRDefault="00891CDC" w:rsidP="000F4959">
            <w:pPr>
              <w:rPr>
                <w:color w:val="365F91" w:themeColor="accent1" w:themeShade="BF"/>
                <w:sz w:val="24"/>
                <w:szCs w:val="24"/>
              </w:rPr>
            </w:pPr>
            <w:r w:rsidRPr="00835DC8">
              <w:rPr>
                <w:color w:val="365F91" w:themeColor="accent1" w:themeShade="BF"/>
                <w:sz w:val="24"/>
                <w:szCs w:val="24"/>
              </w:rPr>
              <w:t>0.04</w:t>
            </w:r>
          </w:p>
        </w:tc>
      </w:tr>
      <w:tr w:rsidR="001016FA" w:rsidRPr="00835DC8" w:rsidTr="001016FA">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BME</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724</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20</w:t>
            </w:r>
          </w:p>
        </w:tc>
        <w:tc>
          <w:tcPr>
            <w:tcW w:w="2254" w:type="dxa"/>
          </w:tcPr>
          <w:p w:rsidR="001016FA" w:rsidRPr="00835DC8" w:rsidRDefault="00891CDC" w:rsidP="000F4959">
            <w:pPr>
              <w:rPr>
                <w:color w:val="365F91" w:themeColor="accent1" w:themeShade="BF"/>
                <w:sz w:val="24"/>
                <w:szCs w:val="24"/>
              </w:rPr>
            </w:pPr>
            <w:r w:rsidRPr="00835DC8">
              <w:rPr>
                <w:color w:val="365F91" w:themeColor="accent1" w:themeShade="BF"/>
                <w:sz w:val="24"/>
                <w:szCs w:val="24"/>
              </w:rPr>
              <w:t>0.03</w:t>
            </w:r>
          </w:p>
        </w:tc>
      </w:tr>
      <w:tr w:rsidR="001016FA" w:rsidRPr="00835DC8" w:rsidTr="001016FA">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Unknown</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71</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5</w:t>
            </w:r>
          </w:p>
        </w:tc>
        <w:tc>
          <w:tcPr>
            <w:tcW w:w="2254" w:type="dxa"/>
          </w:tcPr>
          <w:p w:rsidR="001016FA" w:rsidRPr="00835DC8" w:rsidRDefault="001016FA" w:rsidP="000F4959">
            <w:pPr>
              <w:rPr>
                <w:color w:val="365F91" w:themeColor="accent1" w:themeShade="BF"/>
                <w:sz w:val="24"/>
                <w:szCs w:val="24"/>
              </w:rPr>
            </w:pPr>
            <w:r w:rsidRPr="00835DC8">
              <w:rPr>
                <w:color w:val="365F91" w:themeColor="accent1" w:themeShade="BF"/>
                <w:sz w:val="24"/>
                <w:szCs w:val="24"/>
              </w:rPr>
              <w:t>0.07</w:t>
            </w:r>
          </w:p>
        </w:tc>
      </w:tr>
    </w:tbl>
    <w:p w:rsidR="001016FA" w:rsidRPr="00835DC8" w:rsidRDefault="001016FA" w:rsidP="000F4959">
      <w:pPr>
        <w:spacing w:after="0"/>
        <w:rPr>
          <w:color w:val="365F91" w:themeColor="accent1" w:themeShade="BF"/>
          <w:sz w:val="24"/>
          <w:szCs w:val="24"/>
        </w:rPr>
      </w:pPr>
    </w:p>
    <w:p w:rsidR="00891CDC" w:rsidRPr="00835DC8" w:rsidRDefault="00891CDC" w:rsidP="00660707">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91CDC" w:rsidRPr="00835DC8" w:rsidRDefault="00891CDC" w:rsidP="00660707">
      <w:pPr>
        <w:spacing w:after="0"/>
        <w:rPr>
          <w:color w:val="365F91" w:themeColor="accent1" w:themeShade="BF"/>
          <w:sz w:val="24"/>
          <w:szCs w:val="24"/>
        </w:rPr>
      </w:pPr>
    </w:p>
    <w:p w:rsidR="00660707" w:rsidRPr="00835DC8" w:rsidRDefault="00891CDC" w:rsidP="00660707">
      <w:pPr>
        <w:spacing w:after="0"/>
        <w:rPr>
          <w:color w:val="365F91" w:themeColor="accent1" w:themeShade="BF"/>
          <w:sz w:val="24"/>
          <w:szCs w:val="24"/>
        </w:rPr>
      </w:pPr>
      <w:r w:rsidRPr="00835DC8">
        <w:rPr>
          <w:color w:val="365F91" w:themeColor="accent1" w:themeShade="BF"/>
          <w:sz w:val="24"/>
          <w:szCs w:val="24"/>
        </w:rPr>
        <w:t>What the data tells us:</w:t>
      </w:r>
    </w:p>
    <w:p w:rsidR="00891CDC" w:rsidRPr="00835DC8" w:rsidRDefault="00891CDC" w:rsidP="00891CDC">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White staff are currently 1.58 times as likely to access non-mandatory training and CPD than staff from ethnic minority groups.</w:t>
      </w:r>
    </w:p>
    <w:p w:rsidR="00891CDC" w:rsidRPr="00835DC8" w:rsidRDefault="00891CDC" w:rsidP="00891CDC">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This is a slight increase from 2020-21, when white staff were 1.54 times as likely to access non-mandatory training and CPD than staff from ethnic minority groups.</w:t>
      </w:r>
    </w:p>
    <w:p w:rsidR="00E30B14" w:rsidRPr="00835DC8" w:rsidRDefault="00E30B14" w:rsidP="00E30B14">
      <w:pPr>
        <w:spacing w:after="0"/>
        <w:rPr>
          <w:color w:val="365F91" w:themeColor="accent1" w:themeShade="BF"/>
          <w:sz w:val="24"/>
          <w:szCs w:val="24"/>
        </w:rPr>
      </w:pPr>
    </w:p>
    <w:p w:rsidR="00E30B14" w:rsidRPr="00835DC8" w:rsidRDefault="00E30B14" w:rsidP="00E30B14">
      <w:pPr>
        <w:spacing w:after="0"/>
        <w:rPr>
          <w:color w:val="365F91" w:themeColor="accent1" w:themeShade="BF"/>
          <w:sz w:val="24"/>
          <w:szCs w:val="24"/>
        </w:rPr>
      </w:pPr>
      <w:r w:rsidRPr="00835DC8">
        <w:rPr>
          <w:color w:val="365F91" w:themeColor="accent1" w:themeShade="BF"/>
          <w:sz w:val="24"/>
          <w:szCs w:val="24"/>
        </w:rPr>
        <w:t xml:space="preserve">We are currently running focus groups with staff from ethnic minority groups - outlined in our 2021 WRES action plan - to explore the </w:t>
      </w:r>
      <w:r w:rsidR="00802302">
        <w:rPr>
          <w:color w:val="365F91" w:themeColor="accent1" w:themeShade="BF"/>
          <w:sz w:val="24"/>
          <w:szCs w:val="24"/>
        </w:rPr>
        <w:t>present</w:t>
      </w:r>
      <w:r w:rsidRPr="00835DC8">
        <w:rPr>
          <w:color w:val="365F91" w:themeColor="accent1" w:themeShade="BF"/>
          <w:sz w:val="24"/>
          <w:szCs w:val="24"/>
        </w:rPr>
        <w:t xml:space="preserve"> barriers to accessing non-mandatory training and CPD. We will use these findings, combined with the analysis of apprenticeship uptake against Indicator 1 in our 2021 WRES action plan, to inform our next steps. It is </w:t>
      </w:r>
      <w:r w:rsidRPr="00835DC8">
        <w:rPr>
          <w:color w:val="365F91" w:themeColor="accent1" w:themeShade="BF"/>
          <w:sz w:val="24"/>
          <w:szCs w:val="24"/>
        </w:rPr>
        <w:lastRenderedPageBreak/>
        <w:t>important to us to co-produce any revision to our training and development offer with staff from ethnic minority groups at all levels of the organisation.</w:t>
      </w:r>
    </w:p>
    <w:p w:rsidR="0052072D" w:rsidRPr="00835DC8" w:rsidRDefault="0052072D" w:rsidP="00E30B14">
      <w:pPr>
        <w:spacing w:after="0"/>
        <w:rPr>
          <w:color w:val="365F91" w:themeColor="accent1" w:themeShade="BF"/>
          <w:sz w:val="24"/>
          <w:szCs w:val="24"/>
        </w:rPr>
      </w:pPr>
    </w:p>
    <w:p w:rsidR="0052072D" w:rsidRPr="00835DC8" w:rsidRDefault="0052072D" w:rsidP="00E30B14">
      <w:pPr>
        <w:spacing w:after="0"/>
        <w:rPr>
          <w:color w:val="365F91" w:themeColor="accent1" w:themeShade="BF"/>
          <w:sz w:val="36"/>
          <w:szCs w:val="36"/>
        </w:rPr>
      </w:pPr>
      <w:r w:rsidRPr="00835DC8">
        <w:rPr>
          <w:color w:val="365F91" w:themeColor="accent1" w:themeShade="BF"/>
          <w:sz w:val="36"/>
          <w:szCs w:val="36"/>
        </w:rPr>
        <w:t>Indicators 5-8</w:t>
      </w:r>
    </w:p>
    <w:p w:rsidR="0052072D" w:rsidRPr="00835DC8" w:rsidRDefault="0052072D" w:rsidP="00E30B14">
      <w:pPr>
        <w:spacing w:after="0"/>
        <w:rPr>
          <w:color w:val="365F91" w:themeColor="accent1" w:themeShade="BF"/>
          <w:sz w:val="24"/>
          <w:szCs w:val="24"/>
        </w:rPr>
      </w:pPr>
      <w:r w:rsidRPr="00835DC8">
        <w:rPr>
          <w:color w:val="365F91" w:themeColor="accent1" w:themeShade="BF"/>
          <w:sz w:val="24"/>
          <w:szCs w:val="24"/>
        </w:rPr>
        <w:t xml:space="preserve">Indicators 5-8 are taken directly from responses to the 2021 NHS Staff Survey. Our Trust's 2021 report has been published in full here: </w:t>
      </w:r>
      <w:hyperlink r:id="rId13" w:history="1">
        <w:r w:rsidRPr="00835DC8">
          <w:rPr>
            <w:rStyle w:val="Hyperlink"/>
            <w:sz w:val="24"/>
            <w:szCs w:val="24"/>
          </w:rPr>
          <w:t>SPFT 2021 NHS Staff Survey Benchmark Report</w:t>
        </w:r>
      </w:hyperlink>
      <w:r w:rsidRPr="00835DC8">
        <w:rPr>
          <w:color w:val="365F91" w:themeColor="accent1" w:themeShade="BF"/>
          <w:sz w:val="24"/>
          <w:szCs w:val="24"/>
        </w:rPr>
        <w:t>.</w:t>
      </w:r>
    </w:p>
    <w:p w:rsidR="00E30B14" w:rsidRPr="00835DC8" w:rsidRDefault="00E30B14" w:rsidP="00E30B14">
      <w:pPr>
        <w:spacing w:after="0"/>
        <w:rPr>
          <w:color w:val="365F91" w:themeColor="accent1" w:themeShade="BF"/>
          <w:sz w:val="24"/>
          <w:szCs w:val="24"/>
        </w:rPr>
      </w:pPr>
    </w:p>
    <w:p w:rsidR="00E30B14" w:rsidRPr="00835DC8" w:rsidRDefault="00653DED" w:rsidP="00E30B14">
      <w:pPr>
        <w:spacing w:after="0"/>
        <w:rPr>
          <w:color w:val="365F91" w:themeColor="accent1" w:themeShade="BF"/>
          <w:sz w:val="36"/>
          <w:szCs w:val="36"/>
        </w:rPr>
      </w:pPr>
      <w:r w:rsidRPr="00835DC8">
        <w:rPr>
          <w:color w:val="365F91" w:themeColor="accent1" w:themeShade="BF"/>
          <w:sz w:val="36"/>
          <w:szCs w:val="36"/>
        </w:rPr>
        <w:t>Indicator 5</w:t>
      </w:r>
    </w:p>
    <w:p w:rsidR="00C75A4F" w:rsidRPr="00835DC8" w:rsidRDefault="00C75A4F" w:rsidP="00E30B14">
      <w:pPr>
        <w:spacing w:after="0"/>
        <w:rPr>
          <w:color w:val="365F91" w:themeColor="accent1" w:themeShade="BF"/>
          <w:sz w:val="24"/>
          <w:szCs w:val="24"/>
        </w:rPr>
      </w:pPr>
      <w:r w:rsidRPr="00835DC8">
        <w:rPr>
          <w:color w:val="365F91" w:themeColor="accent1" w:themeShade="BF"/>
          <w:sz w:val="24"/>
          <w:szCs w:val="24"/>
        </w:rPr>
        <w:t>Percentage of staff experiencing harassment, bullying or abuse from patients, relatives or the public in</w:t>
      </w:r>
      <w:r w:rsidR="00A45494">
        <w:rPr>
          <w:color w:val="365F91" w:themeColor="accent1" w:themeShade="BF"/>
          <w:sz w:val="24"/>
          <w:szCs w:val="24"/>
        </w:rPr>
        <w:t xml:space="preserve"> the</w:t>
      </w:r>
      <w:r w:rsidRPr="00835DC8">
        <w:rPr>
          <w:color w:val="365F91" w:themeColor="accent1" w:themeShade="BF"/>
          <w:sz w:val="24"/>
          <w:szCs w:val="24"/>
        </w:rPr>
        <w:t xml:space="preserve"> last 12 months.</w:t>
      </w:r>
    </w:p>
    <w:p w:rsidR="00C75A4F" w:rsidRPr="00835DC8" w:rsidRDefault="00C75A4F" w:rsidP="00E30B14">
      <w:pPr>
        <w:spacing w:after="0"/>
        <w:rPr>
          <w:color w:val="365F91" w:themeColor="accent1" w:themeShade="BF"/>
          <w:sz w:val="24"/>
          <w:szCs w:val="24"/>
        </w:rPr>
      </w:pPr>
    </w:p>
    <w:p w:rsidR="00C75A4F" w:rsidRPr="00835DC8" w:rsidRDefault="00A054DE" w:rsidP="00E30B14">
      <w:pPr>
        <w:spacing w:after="0"/>
        <w:rPr>
          <w:color w:val="365F91" w:themeColor="accent1" w:themeShade="BF"/>
          <w:sz w:val="24"/>
          <w:szCs w:val="24"/>
        </w:rPr>
      </w:pPr>
      <w:r w:rsidRPr="00835DC8">
        <w:rPr>
          <w:color w:val="365F91" w:themeColor="accent1" w:themeShade="BF"/>
          <w:sz w:val="24"/>
          <w:szCs w:val="24"/>
        </w:rPr>
        <w:t>Note: this is taken directly from Q1</w:t>
      </w:r>
      <w:r w:rsidR="008B7603">
        <w:rPr>
          <w:color w:val="365F91" w:themeColor="accent1" w:themeShade="BF"/>
          <w:sz w:val="24"/>
          <w:szCs w:val="24"/>
        </w:rPr>
        <w:t>4</w:t>
      </w:r>
      <w:r w:rsidRPr="00835DC8">
        <w:rPr>
          <w:color w:val="365F91" w:themeColor="accent1" w:themeShade="BF"/>
          <w:sz w:val="24"/>
          <w:szCs w:val="24"/>
        </w:rPr>
        <w:t xml:space="preserve">a of </w:t>
      </w:r>
      <w:r w:rsidR="0052072D" w:rsidRPr="00835DC8">
        <w:rPr>
          <w:color w:val="365F91" w:themeColor="accent1" w:themeShade="BF"/>
          <w:sz w:val="24"/>
          <w:szCs w:val="24"/>
        </w:rPr>
        <w:t>our</w:t>
      </w:r>
      <w:r w:rsidRPr="00835DC8">
        <w:rPr>
          <w:color w:val="365F91" w:themeColor="accent1" w:themeShade="BF"/>
          <w:sz w:val="24"/>
          <w:szCs w:val="24"/>
        </w:rPr>
        <w:t xml:space="preserve"> 2021 NHS Staff Survey.</w:t>
      </w:r>
      <w:r w:rsidR="00733E12" w:rsidRPr="00835DC8">
        <w:rPr>
          <w:color w:val="365F91" w:themeColor="accent1" w:themeShade="BF"/>
          <w:sz w:val="24"/>
          <w:szCs w:val="24"/>
        </w:rPr>
        <w:t xml:space="preserve"> Our benchmark group is made up of Mental Health, Learning Disability and Community Trusts. </w:t>
      </w:r>
    </w:p>
    <w:p w:rsidR="00A054DE" w:rsidRPr="00835DC8" w:rsidRDefault="00A054DE" w:rsidP="00E30B14">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A531B1" w:rsidRPr="00835DC8" w:rsidTr="009F782A">
        <w:tc>
          <w:tcPr>
            <w:tcW w:w="2254" w:type="dxa"/>
            <w:shd w:val="clear" w:color="auto" w:fill="F2F2F2" w:themeFill="background1" w:themeFillShade="F2"/>
          </w:tcPr>
          <w:p w:rsidR="00A531B1" w:rsidRPr="00835DC8" w:rsidRDefault="00A531B1" w:rsidP="00E30B14">
            <w:pPr>
              <w:rPr>
                <w:color w:val="365F91" w:themeColor="accent1" w:themeShade="BF"/>
                <w:sz w:val="24"/>
                <w:szCs w:val="24"/>
              </w:rPr>
            </w:pPr>
            <w:r w:rsidRPr="00835DC8">
              <w:rPr>
                <w:color w:val="365F91" w:themeColor="accent1" w:themeShade="BF"/>
                <w:sz w:val="24"/>
                <w:szCs w:val="24"/>
              </w:rPr>
              <w:t>Q1</w:t>
            </w:r>
            <w:r w:rsidR="008B7603">
              <w:rPr>
                <w:color w:val="365F91" w:themeColor="accent1" w:themeShade="BF"/>
                <w:sz w:val="24"/>
                <w:szCs w:val="24"/>
              </w:rPr>
              <w:t>4</w:t>
            </w:r>
            <w:r w:rsidRPr="00835DC8">
              <w:rPr>
                <w:color w:val="365F91" w:themeColor="accent1" w:themeShade="BF"/>
                <w:sz w:val="24"/>
                <w:szCs w:val="24"/>
              </w:rPr>
              <w:t>a 2021</w:t>
            </w:r>
          </w:p>
        </w:tc>
        <w:tc>
          <w:tcPr>
            <w:tcW w:w="2254" w:type="dxa"/>
          </w:tcPr>
          <w:p w:rsidR="00A531B1" w:rsidRPr="00835DC8" w:rsidRDefault="00A531B1" w:rsidP="00E30B14">
            <w:pPr>
              <w:rPr>
                <w:color w:val="365F91" w:themeColor="accent1" w:themeShade="BF"/>
                <w:sz w:val="24"/>
                <w:szCs w:val="24"/>
              </w:rPr>
            </w:pPr>
            <w:r w:rsidRPr="00835DC8">
              <w:rPr>
                <w:color w:val="365F91" w:themeColor="accent1" w:themeShade="BF"/>
                <w:sz w:val="24"/>
                <w:szCs w:val="24"/>
              </w:rPr>
              <w:t>Number of responses</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 experiencing abuse</w:t>
            </w:r>
            <w:r w:rsidR="004813DF" w:rsidRPr="00835DC8">
              <w:rPr>
                <w:color w:val="365F91" w:themeColor="accent1" w:themeShade="BF"/>
                <w:sz w:val="24"/>
                <w:szCs w:val="24"/>
              </w:rPr>
              <w:t xml:space="preserve"> from public</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Benchmark group average (median)</w:t>
            </w:r>
          </w:p>
        </w:tc>
      </w:tr>
      <w:tr w:rsidR="00A531B1" w:rsidRPr="00835DC8" w:rsidTr="00A531B1">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White</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2,285</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28.9</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26.2</w:t>
            </w:r>
          </w:p>
        </w:tc>
      </w:tr>
      <w:tr w:rsidR="00A531B1" w:rsidRPr="00835DC8" w:rsidTr="00A531B1">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BME</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269</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34.6</w:t>
            </w:r>
          </w:p>
        </w:tc>
        <w:tc>
          <w:tcPr>
            <w:tcW w:w="2254" w:type="dxa"/>
          </w:tcPr>
          <w:p w:rsidR="00A531B1" w:rsidRPr="00835DC8" w:rsidRDefault="00733E12" w:rsidP="00E30B14">
            <w:pPr>
              <w:rPr>
                <w:color w:val="365F91" w:themeColor="accent1" w:themeShade="BF"/>
                <w:sz w:val="24"/>
                <w:szCs w:val="24"/>
              </w:rPr>
            </w:pPr>
            <w:r w:rsidRPr="00835DC8">
              <w:rPr>
                <w:color w:val="365F91" w:themeColor="accent1" w:themeShade="BF"/>
                <w:sz w:val="24"/>
                <w:szCs w:val="24"/>
              </w:rPr>
              <w:t>31.8</w:t>
            </w:r>
          </w:p>
        </w:tc>
      </w:tr>
    </w:tbl>
    <w:p w:rsidR="00A054DE" w:rsidRPr="00835DC8" w:rsidRDefault="00A054DE" w:rsidP="00E30B14">
      <w:pPr>
        <w:spacing w:after="0"/>
        <w:rPr>
          <w:color w:val="365F91" w:themeColor="accent1" w:themeShade="BF"/>
          <w:sz w:val="24"/>
          <w:szCs w:val="24"/>
        </w:rPr>
      </w:pPr>
    </w:p>
    <w:p w:rsidR="00733E12" w:rsidRPr="00835DC8" w:rsidRDefault="00733E12" w:rsidP="00E30B14">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91CDC" w:rsidRPr="00835DC8" w:rsidRDefault="00891CDC" w:rsidP="00891CDC">
      <w:pPr>
        <w:spacing w:after="0"/>
        <w:rPr>
          <w:color w:val="365F91" w:themeColor="accent1" w:themeShade="BF"/>
          <w:sz w:val="24"/>
          <w:szCs w:val="24"/>
        </w:rPr>
      </w:pPr>
    </w:p>
    <w:p w:rsidR="00660707" w:rsidRPr="00835DC8" w:rsidRDefault="00733E12" w:rsidP="00660707">
      <w:pPr>
        <w:spacing w:after="0"/>
        <w:rPr>
          <w:color w:val="365F91" w:themeColor="accent1" w:themeShade="BF"/>
          <w:sz w:val="24"/>
          <w:szCs w:val="24"/>
        </w:rPr>
      </w:pPr>
      <w:r w:rsidRPr="00835DC8">
        <w:rPr>
          <w:color w:val="365F91" w:themeColor="accent1" w:themeShade="BF"/>
          <w:sz w:val="24"/>
          <w:szCs w:val="24"/>
        </w:rPr>
        <w:t>What the data tells us:</w:t>
      </w:r>
    </w:p>
    <w:p w:rsidR="00733E12" w:rsidRPr="00835DC8" w:rsidRDefault="004C06DE" w:rsidP="004C06DE">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The percentage of SPFT staff from ethnic minority groups experiencing harassment, bullying or abuse from patients, relatives or the public in last 12 months has increased slightly, from 34.5% in 2020 to 34.6% in 2021.</w:t>
      </w:r>
    </w:p>
    <w:p w:rsidR="004C06DE" w:rsidRPr="00835DC8" w:rsidRDefault="004C06DE" w:rsidP="004C06DE">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lastRenderedPageBreak/>
        <w:t xml:space="preserve">This is a significant decrease from the Trust's scores in 2017-20, but still above the benchmark group average of 32.1% in 2020 and </w:t>
      </w:r>
      <w:r w:rsidR="002010A4" w:rsidRPr="00835DC8">
        <w:rPr>
          <w:color w:val="365F91" w:themeColor="accent1" w:themeShade="BF"/>
          <w:sz w:val="24"/>
          <w:szCs w:val="24"/>
        </w:rPr>
        <w:t>31.8</w:t>
      </w:r>
      <w:r w:rsidRPr="00835DC8">
        <w:rPr>
          <w:color w:val="365F91" w:themeColor="accent1" w:themeShade="BF"/>
          <w:sz w:val="24"/>
          <w:szCs w:val="24"/>
        </w:rPr>
        <w:t>% in 2021.</w:t>
      </w:r>
    </w:p>
    <w:p w:rsidR="004C06DE" w:rsidRPr="00835DC8" w:rsidRDefault="004C06DE" w:rsidP="004C06DE">
      <w:pPr>
        <w:spacing w:after="0"/>
        <w:rPr>
          <w:color w:val="365F91" w:themeColor="accent1" w:themeShade="BF"/>
          <w:sz w:val="24"/>
          <w:szCs w:val="24"/>
        </w:rPr>
      </w:pPr>
    </w:p>
    <w:p w:rsidR="004C06DE" w:rsidRPr="00835DC8" w:rsidRDefault="004C06DE" w:rsidP="004C06DE">
      <w:pPr>
        <w:spacing w:after="0"/>
        <w:rPr>
          <w:color w:val="365F91" w:themeColor="accent1" w:themeShade="BF"/>
          <w:sz w:val="24"/>
          <w:szCs w:val="24"/>
        </w:rPr>
      </w:pPr>
      <w:r w:rsidRPr="00835DC8">
        <w:rPr>
          <w:color w:val="365F91" w:themeColor="accent1" w:themeShade="BF"/>
          <w:sz w:val="24"/>
          <w:szCs w:val="24"/>
        </w:rPr>
        <w:t xml:space="preserve">Indicator 5 will be given focused actions on our 2022 WRES action plan, as the Trust's scores remain above the benchmark group's average. </w:t>
      </w:r>
      <w:r w:rsidR="00820FD8" w:rsidRPr="00835DC8">
        <w:rPr>
          <w:color w:val="365F91" w:themeColor="accent1" w:themeShade="BF"/>
          <w:sz w:val="24"/>
          <w:szCs w:val="24"/>
        </w:rPr>
        <w:t>As detailed in our 2021 WRES action plan, we have appointed a Violence Prevention and Reduction Manager, and will be launching a new communications campaign outlining the Trust's ant</w:t>
      </w:r>
      <w:r w:rsidR="00E600DE" w:rsidRPr="00835DC8">
        <w:rPr>
          <w:color w:val="365F91" w:themeColor="accent1" w:themeShade="BF"/>
          <w:sz w:val="24"/>
          <w:szCs w:val="24"/>
        </w:rPr>
        <w:t>i</w:t>
      </w:r>
      <w:r w:rsidR="00820FD8" w:rsidRPr="00835DC8">
        <w:rPr>
          <w:color w:val="365F91" w:themeColor="accent1" w:themeShade="BF"/>
          <w:sz w:val="24"/>
          <w:szCs w:val="24"/>
        </w:rPr>
        <w:t>racist stance, and our support for any staff member experiencing abuse.</w:t>
      </w:r>
      <w:r w:rsidR="00802302">
        <w:rPr>
          <w:color w:val="365F91" w:themeColor="accent1" w:themeShade="BF"/>
          <w:sz w:val="24"/>
          <w:szCs w:val="24"/>
        </w:rPr>
        <w:t xml:space="preserve"> </w:t>
      </w:r>
      <w:r w:rsidR="00966FB0">
        <w:rPr>
          <w:color w:val="365F91" w:themeColor="accent1" w:themeShade="BF"/>
          <w:sz w:val="24"/>
          <w:szCs w:val="24"/>
        </w:rPr>
        <w:t xml:space="preserve">As of </w:t>
      </w:r>
      <w:proofErr w:type="gramStart"/>
      <w:r w:rsidR="00966FB0">
        <w:rPr>
          <w:color w:val="365F91" w:themeColor="accent1" w:themeShade="BF"/>
          <w:sz w:val="24"/>
          <w:szCs w:val="24"/>
        </w:rPr>
        <w:t>September 2022</w:t>
      </w:r>
      <w:proofErr w:type="gramEnd"/>
      <w:r w:rsidR="00966FB0">
        <w:rPr>
          <w:color w:val="365F91" w:themeColor="accent1" w:themeShade="BF"/>
          <w:sz w:val="24"/>
          <w:szCs w:val="24"/>
        </w:rPr>
        <w:t xml:space="preserve"> v</w:t>
      </w:r>
      <w:r w:rsidR="00802302">
        <w:rPr>
          <w:color w:val="365F91" w:themeColor="accent1" w:themeShade="BF"/>
          <w:sz w:val="24"/>
          <w:szCs w:val="24"/>
        </w:rPr>
        <w:t xml:space="preserve">ictim support packs are also in development, and our </w:t>
      </w:r>
      <w:hyperlink r:id="rId15" w:history="1">
        <w:r w:rsidR="00802302" w:rsidRPr="00802302">
          <w:rPr>
            <w:rStyle w:val="Hyperlink"/>
            <w:sz w:val="24"/>
            <w:szCs w:val="24"/>
          </w:rPr>
          <w:t>Staff in Mind</w:t>
        </w:r>
      </w:hyperlink>
      <w:r w:rsidR="00802302">
        <w:rPr>
          <w:color w:val="365F91" w:themeColor="accent1" w:themeShade="BF"/>
          <w:sz w:val="24"/>
          <w:szCs w:val="24"/>
        </w:rPr>
        <w:t xml:space="preserve"> service, which supports</w:t>
      </w:r>
      <w:r w:rsidR="00802302" w:rsidRPr="00802302">
        <w:rPr>
          <w:color w:val="365F91" w:themeColor="accent1" w:themeShade="BF"/>
          <w:sz w:val="24"/>
          <w:szCs w:val="24"/>
        </w:rPr>
        <w:t xml:space="preserve"> Sussex health and care staff experiencing emotional or psychological difficulties</w:t>
      </w:r>
      <w:r w:rsidR="00802302">
        <w:rPr>
          <w:color w:val="365F91" w:themeColor="accent1" w:themeShade="BF"/>
          <w:sz w:val="24"/>
          <w:szCs w:val="24"/>
        </w:rPr>
        <w:t>, is being revised following extensive consultation with staff from ethnic minority groups.</w:t>
      </w:r>
    </w:p>
    <w:p w:rsidR="00820FD8" w:rsidRPr="00835DC8" w:rsidRDefault="00820FD8" w:rsidP="004C06DE">
      <w:pPr>
        <w:spacing w:after="0"/>
        <w:rPr>
          <w:color w:val="365F91" w:themeColor="accent1" w:themeShade="BF"/>
          <w:sz w:val="24"/>
          <w:szCs w:val="24"/>
        </w:rPr>
      </w:pPr>
    </w:p>
    <w:p w:rsidR="00820FD8" w:rsidRPr="00835DC8" w:rsidRDefault="00820FD8" w:rsidP="004C06DE">
      <w:pPr>
        <w:spacing w:after="0"/>
        <w:rPr>
          <w:color w:val="365F91" w:themeColor="accent1" w:themeShade="BF"/>
          <w:sz w:val="36"/>
          <w:szCs w:val="36"/>
        </w:rPr>
      </w:pPr>
      <w:r w:rsidRPr="00835DC8">
        <w:rPr>
          <w:color w:val="365F91" w:themeColor="accent1" w:themeShade="BF"/>
          <w:sz w:val="36"/>
          <w:szCs w:val="36"/>
        </w:rPr>
        <w:t>Indicator 6</w:t>
      </w:r>
    </w:p>
    <w:p w:rsidR="00820FD8" w:rsidRPr="00835DC8" w:rsidRDefault="004813DF" w:rsidP="004C06DE">
      <w:pPr>
        <w:spacing w:after="0"/>
        <w:rPr>
          <w:color w:val="365F91" w:themeColor="accent1" w:themeShade="BF"/>
          <w:sz w:val="24"/>
          <w:szCs w:val="24"/>
        </w:rPr>
      </w:pPr>
      <w:r w:rsidRPr="00835DC8">
        <w:rPr>
          <w:color w:val="365F91" w:themeColor="accent1" w:themeShade="BF"/>
          <w:sz w:val="24"/>
          <w:szCs w:val="24"/>
        </w:rPr>
        <w:t xml:space="preserve">Percentage of staff experiencing harassment, bullying or abuse from staff in </w:t>
      </w:r>
      <w:r w:rsidR="004E3A4F">
        <w:rPr>
          <w:color w:val="365F91" w:themeColor="accent1" w:themeShade="BF"/>
          <w:sz w:val="24"/>
          <w:szCs w:val="24"/>
        </w:rPr>
        <w:t xml:space="preserve">the </w:t>
      </w:r>
      <w:r w:rsidRPr="00835DC8">
        <w:rPr>
          <w:color w:val="365F91" w:themeColor="accent1" w:themeShade="BF"/>
          <w:sz w:val="24"/>
          <w:szCs w:val="24"/>
        </w:rPr>
        <w:t>last 12 months.</w:t>
      </w:r>
    </w:p>
    <w:p w:rsidR="006D0197" w:rsidRPr="00835DC8" w:rsidRDefault="006D0197" w:rsidP="0070113B">
      <w:pPr>
        <w:spacing w:after="0"/>
        <w:rPr>
          <w:color w:val="365F91" w:themeColor="accent1" w:themeShade="BF"/>
          <w:sz w:val="24"/>
          <w:szCs w:val="24"/>
        </w:rPr>
      </w:pPr>
    </w:p>
    <w:p w:rsidR="006D0197" w:rsidRPr="00835DC8" w:rsidRDefault="004813DF" w:rsidP="0070113B">
      <w:pPr>
        <w:spacing w:after="0"/>
        <w:rPr>
          <w:color w:val="365F91" w:themeColor="accent1" w:themeShade="BF"/>
          <w:sz w:val="24"/>
          <w:szCs w:val="24"/>
        </w:rPr>
      </w:pPr>
      <w:r w:rsidRPr="00835DC8">
        <w:rPr>
          <w:color w:val="365F91" w:themeColor="accent1" w:themeShade="BF"/>
          <w:sz w:val="24"/>
          <w:szCs w:val="24"/>
        </w:rPr>
        <w:t>Note: this is taken directly from Q1</w:t>
      </w:r>
      <w:r w:rsidR="008B7603">
        <w:rPr>
          <w:color w:val="365F91" w:themeColor="accent1" w:themeShade="BF"/>
          <w:sz w:val="24"/>
          <w:szCs w:val="24"/>
        </w:rPr>
        <w:t>4</w:t>
      </w:r>
      <w:r w:rsidRPr="00835DC8">
        <w:rPr>
          <w:color w:val="365F91" w:themeColor="accent1" w:themeShade="BF"/>
          <w:sz w:val="24"/>
          <w:szCs w:val="24"/>
        </w:rPr>
        <w:t>b and Q1</w:t>
      </w:r>
      <w:r w:rsidR="008B7603">
        <w:rPr>
          <w:color w:val="365F91" w:themeColor="accent1" w:themeShade="BF"/>
          <w:sz w:val="24"/>
          <w:szCs w:val="24"/>
        </w:rPr>
        <w:t>4</w:t>
      </w:r>
      <w:r w:rsidRPr="00835DC8">
        <w:rPr>
          <w:color w:val="365F91" w:themeColor="accent1" w:themeShade="BF"/>
          <w:sz w:val="24"/>
          <w:szCs w:val="24"/>
        </w:rPr>
        <w:t>c of the 2021 NHS Staff Survey. Our benchmark group is made up of Mental Health, Learning Disability and Community Trusts.</w:t>
      </w:r>
    </w:p>
    <w:p w:rsidR="004813DF" w:rsidRPr="00835DC8" w:rsidRDefault="004813DF" w:rsidP="0070113B">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4813DF" w:rsidRPr="00835DC8" w:rsidTr="009F782A">
        <w:tc>
          <w:tcPr>
            <w:tcW w:w="2254" w:type="dxa"/>
            <w:shd w:val="clear" w:color="auto" w:fill="F2F2F2" w:themeFill="background1" w:themeFillShade="F2"/>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Q1</w:t>
            </w:r>
            <w:r w:rsidR="008B7603">
              <w:rPr>
                <w:color w:val="365F91" w:themeColor="accent1" w:themeShade="BF"/>
                <w:sz w:val="24"/>
                <w:szCs w:val="24"/>
              </w:rPr>
              <w:t>4</w:t>
            </w:r>
            <w:r w:rsidR="000B718E">
              <w:rPr>
                <w:color w:val="365F91" w:themeColor="accent1" w:themeShade="BF"/>
                <w:sz w:val="24"/>
                <w:szCs w:val="24"/>
              </w:rPr>
              <w:t>b</w:t>
            </w:r>
            <w:r w:rsidRPr="00835DC8">
              <w:rPr>
                <w:color w:val="365F91" w:themeColor="accent1" w:themeShade="BF"/>
                <w:sz w:val="24"/>
                <w:szCs w:val="24"/>
              </w:rPr>
              <w:t xml:space="preserve"> and Q1</w:t>
            </w:r>
            <w:r w:rsidR="008B7603">
              <w:rPr>
                <w:color w:val="365F91" w:themeColor="accent1" w:themeShade="BF"/>
                <w:sz w:val="24"/>
                <w:szCs w:val="24"/>
              </w:rPr>
              <w:t>4</w:t>
            </w:r>
            <w:bookmarkStart w:id="1" w:name="_GoBack"/>
            <w:bookmarkEnd w:id="1"/>
            <w:r w:rsidR="000B718E">
              <w:rPr>
                <w:color w:val="365F91" w:themeColor="accent1" w:themeShade="BF"/>
                <w:sz w:val="24"/>
                <w:szCs w:val="24"/>
              </w:rPr>
              <w:t>c</w:t>
            </w:r>
            <w:r w:rsidRPr="00835DC8">
              <w:rPr>
                <w:color w:val="365F91" w:themeColor="accent1" w:themeShade="BF"/>
                <w:sz w:val="24"/>
                <w:szCs w:val="24"/>
              </w:rPr>
              <w:t xml:space="preserve"> 2021</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Number of responses</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 experiencing abuse from staff</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Benchmark group average (median)</w:t>
            </w:r>
          </w:p>
        </w:tc>
      </w:tr>
      <w:tr w:rsidR="004813DF" w:rsidRPr="00835DC8" w:rsidTr="004813DF">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White</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2,280</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19.6</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18.1</w:t>
            </w:r>
          </w:p>
        </w:tc>
      </w:tr>
      <w:tr w:rsidR="004813DF" w:rsidRPr="00835DC8" w:rsidTr="004813DF">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BME</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267</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21.0</w:t>
            </w:r>
          </w:p>
        </w:tc>
        <w:tc>
          <w:tcPr>
            <w:tcW w:w="2254" w:type="dxa"/>
          </w:tcPr>
          <w:p w:rsidR="004813DF" w:rsidRPr="00835DC8" w:rsidRDefault="004813DF" w:rsidP="0070113B">
            <w:pPr>
              <w:rPr>
                <w:color w:val="365F91" w:themeColor="accent1" w:themeShade="BF"/>
                <w:sz w:val="24"/>
                <w:szCs w:val="24"/>
              </w:rPr>
            </w:pPr>
            <w:r w:rsidRPr="00835DC8">
              <w:rPr>
                <w:color w:val="365F91" w:themeColor="accent1" w:themeShade="BF"/>
                <w:sz w:val="24"/>
                <w:szCs w:val="24"/>
              </w:rPr>
              <w:t>22.9</w:t>
            </w:r>
          </w:p>
        </w:tc>
      </w:tr>
    </w:tbl>
    <w:p w:rsidR="004813DF" w:rsidRPr="00835DC8" w:rsidRDefault="004813DF" w:rsidP="0070113B">
      <w:pPr>
        <w:spacing w:after="0"/>
        <w:rPr>
          <w:color w:val="365F91" w:themeColor="accent1" w:themeShade="BF"/>
          <w:sz w:val="24"/>
          <w:szCs w:val="24"/>
        </w:rPr>
      </w:pPr>
    </w:p>
    <w:p w:rsidR="004813DF" w:rsidRPr="00835DC8" w:rsidRDefault="00A75978" w:rsidP="0070113B">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231BA7" w:rsidRPr="00835DC8" w:rsidRDefault="00231BA7" w:rsidP="0070113B">
      <w:pPr>
        <w:spacing w:after="0"/>
        <w:rPr>
          <w:color w:val="365F91" w:themeColor="accent1" w:themeShade="BF"/>
          <w:sz w:val="24"/>
          <w:szCs w:val="24"/>
        </w:rPr>
      </w:pPr>
    </w:p>
    <w:p w:rsidR="00231BA7" w:rsidRPr="00835DC8" w:rsidRDefault="00231BA7" w:rsidP="0070113B">
      <w:pPr>
        <w:spacing w:after="0"/>
        <w:rPr>
          <w:color w:val="365F91" w:themeColor="accent1" w:themeShade="BF"/>
          <w:sz w:val="24"/>
          <w:szCs w:val="24"/>
        </w:rPr>
      </w:pPr>
      <w:r w:rsidRPr="00835DC8">
        <w:rPr>
          <w:color w:val="365F91" w:themeColor="accent1" w:themeShade="BF"/>
          <w:sz w:val="24"/>
          <w:szCs w:val="24"/>
        </w:rPr>
        <w:t>What the data tells us:</w:t>
      </w:r>
    </w:p>
    <w:p w:rsidR="00231BA7" w:rsidRPr="00835DC8" w:rsidRDefault="00231BA7" w:rsidP="00231BA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lastRenderedPageBreak/>
        <w:t>Within the Trust, the percentage of staff from ethnic minority groups experiencing harassment, bullying or abuse from colleagues or managers has decreased year on year since 2018.</w:t>
      </w:r>
    </w:p>
    <w:p w:rsidR="00231BA7" w:rsidRPr="00835DC8" w:rsidRDefault="00231BA7" w:rsidP="00231BA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The percentage of SPFT staff from ethnic minority groups experiencing harassment, bullying or abuse from colleagues or managers (21.0%) is the furthest below the benchmark group average (22.9%) to date.</w:t>
      </w:r>
    </w:p>
    <w:p w:rsidR="00943657" w:rsidRPr="00835DC8" w:rsidRDefault="00943657" w:rsidP="00943657">
      <w:pPr>
        <w:spacing w:after="0"/>
        <w:rPr>
          <w:color w:val="365F91" w:themeColor="accent1" w:themeShade="BF"/>
          <w:sz w:val="24"/>
          <w:szCs w:val="24"/>
        </w:rPr>
      </w:pPr>
    </w:p>
    <w:p w:rsidR="00943657" w:rsidRPr="00835DC8" w:rsidRDefault="00943657" w:rsidP="00943657">
      <w:pPr>
        <w:spacing w:after="0"/>
        <w:rPr>
          <w:color w:val="365F91" w:themeColor="accent1" w:themeShade="BF"/>
          <w:sz w:val="24"/>
          <w:szCs w:val="24"/>
        </w:rPr>
      </w:pPr>
      <w:r w:rsidRPr="00835DC8">
        <w:rPr>
          <w:color w:val="365F91" w:themeColor="accent1" w:themeShade="BF"/>
          <w:sz w:val="24"/>
          <w:szCs w:val="24"/>
        </w:rPr>
        <w:t>Actions from our 2021 WRES action plan relating to Indicator 6 include appointing a full time Freedom to Speak Up Guardian for the first time, delivering Civility and Building Better Relationships training in partnership with Project Wingman, and running a bespoke three-part Culture and Civility training programme of Diversity in Action workshops, Allyship workshops, and Reciprocal Mentoring sessions.</w:t>
      </w:r>
    </w:p>
    <w:p w:rsidR="00943657" w:rsidRPr="00835DC8" w:rsidRDefault="00943657" w:rsidP="00943657">
      <w:pPr>
        <w:spacing w:after="0"/>
        <w:rPr>
          <w:color w:val="365F91" w:themeColor="accent1" w:themeShade="BF"/>
          <w:sz w:val="24"/>
          <w:szCs w:val="24"/>
        </w:rPr>
      </w:pPr>
    </w:p>
    <w:p w:rsidR="00943657" w:rsidRPr="00835DC8" w:rsidRDefault="00943657" w:rsidP="00943657">
      <w:pPr>
        <w:spacing w:after="0"/>
        <w:rPr>
          <w:color w:val="365F91" w:themeColor="accent1" w:themeShade="BF"/>
          <w:sz w:val="24"/>
          <w:szCs w:val="24"/>
        </w:rPr>
      </w:pPr>
      <w:r w:rsidRPr="00835DC8">
        <w:rPr>
          <w:color w:val="365F91" w:themeColor="accent1" w:themeShade="BF"/>
          <w:sz w:val="24"/>
          <w:szCs w:val="24"/>
        </w:rPr>
        <w:t>While our Indicator 6 performance is improving, the percentage of our staff from ethnic minority groups experiencing abuse (21.0%) is still higher than the percentage of white staff experiencing abuse (19.6%), indicating that ongoing improvement work still needs to focus on the Trust's antiracist position.</w:t>
      </w:r>
    </w:p>
    <w:p w:rsidR="004F4598" w:rsidRPr="00835DC8" w:rsidRDefault="004F4598" w:rsidP="00943657">
      <w:pPr>
        <w:spacing w:after="0"/>
        <w:rPr>
          <w:color w:val="365F91" w:themeColor="accent1" w:themeShade="BF"/>
          <w:sz w:val="24"/>
          <w:szCs w:val="24"/>
        </w:rPr>
      </w:pPr>
    </w:p>
    <w:p w:rsidR="00A40277" w:rsidRPr="00835DC8" w:rsidRDefault="004F4598" w:rsidP="00943657">
      <w:pPr>
        <w:spacing w:after="0"/>
        <w:rPr>
          <w:color w:val="365F91" w:themeColor="accent1" w:themeShade="BF"/>
          <w:sz w:val="36"/>
          <w:szCs w:val="36"/>
        </w:rPr>
      </w:pPr>
      <w:r w:rsidRPr="00835DC8">
        <w:rPr>
          <w:color w:val="365F91" w:themeColor="accent1" w:themeShade="BF"/>
          <w:sz w:val="36"/>
          <w:szCs w:val="36"/>
        </w:rPr>
        <w:t>Indicator 7</w:t>
      </w:r>
    </w:p>
    <w:p w:rsidR="00A40277" w:rsidRPr="00835DC8" w:rsidRDefault="00A40277" w:rsidP="00943657">
      <w:pPr>
        <w:spacing w:after="0"/>
        <w:rPr>
          <w:color w:val="365F91" w:themeColor="accent1" w:themeShade="BF"/>
          <w:sz w:val="36"/>
          <w:szCs w:val="36"/>
        </w:rPr>
      </w:pPr>
      <w:r w:rsidRPr="00835DC8">
        <w:rPr>
          <w:color w:val="365F91" w:themeColor="accent1" w:themeShade="BF"/>
          <w:sz w:val="24"/>
          <w:szCs w:val="24"/>
        </w:rPr>
        <w:t>Percentage of staff believing that the Trust provides equal opportunities for career progression or promotion.</w:t>
      </w:r>
    </w:p>
    <w:p w:rsidR="00A40277" w:rsidRPr="00835DC8" w:rsidRDefault="00A40277" w:rsidP="00943657">
      <w:pPr>
        <w:spacing w:after="0"/>
        <w:rPr>
          <w:color w:val="365F91" w:themeColor="accent1" w:themeShade="BF"/>
          <w:sz w:val="24"/>
          <w:szCs w:val="24"/>
        </w:rPr>
      </w:pPr>
    </w:p>
    <w:p w:rsidR="00A40277" w:rsidRPr="00835DC8" w:rsidRDefault="00A40277" w:rsidP="00943657">
      <w:pPr>
        <w:spacing w:after="0"/>
        <w:rPr>
          <w:color w:val="365F91" w:themeColor="accent1" w:themeShade="BF"/>
          <w:sz w:val="24"/>
          <w:szCs w:val="24"/>
        </w:rPr>
      </w:pPr>
      <w:r w:rsidRPr="00835DC8">
        <w:rPr>
          <w:color w:val="365F91" w:themeColor="accent1" w:themeShade="BF"/>
          <w:sz w:val="24"/>
          <w:szCs w:val="24"/>
        </w:rPr>
        <w:t>Note: this is taken directly from Q1</w:t>
      </w:r>
      <w:r w:rsidR="000B718E">
        <w:rPr>
          <w:color w:val="365F91" w:themeColor="accent1" w:themeShade="BF"/>
          <w:sz w:val="24"/>
          <w:szCs w:val="24"/>
        </w:rPr>
        <w:t>5</w:t>
      </w:r>
      <w:r w:rsidRPr="00835DC8">
        <w:rPr>
          <w:color w:val="365F91" w:themeColor="accent1" w:themeShade="BF"/>
          <w:sz w:val="24"/>
          <w:szCs w:val="24"/>
        </w:rPr>
        <w:t xml:space="preserve"> of the 2021 NHS Staff Survey. Our benchmark group is made up of Mental Health, Learning Disability and Community Trusts.</w:t>
      </w:r>
    </w:p>
    <w:p w:rsidR="00A40277" w:rsidRPr="00835DC8" w:rsidRDefault="00A40277" w:rsidP="00943657">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A40277" w:rsidRPr="00835DC8" w:rsidTr="009F782A">
        <w:tc>
          <w:tcPr>
            <w:tcW w:w="2254" w:type="dxa"/>
            <w:shd w:val="clear" w:color="auto" w:fill="F2F2F2" w:themeFill="background1" w:themeFillShade="F2"/>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Q1</w:t>
            </w:r>
            <w:r w:rsidR="000B718E">
              <w:rPr>
                <w:color w:val="365F91" w:themeColor="accent1" w:themeShade="BF"/>
                <w:sz w:val="24"/>
                <w:szCs w:val="24"/>
              </w:rPr>
              <w:t>5</w:t>
            </w:r>
            <w:r w:rsidRPr="00835DC8">
              <w:rPr>
                <w:color w:val="365F91" w:themeColor="accent1" w:themeShade="BF"/>
                <w:sz w:val="24"/>
                <w:szCs w:val="24"/>
              </w:rPr>
              <w:t xml:space="preserve"> 2021</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Number of responses</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 believing</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Benchmark group average (median)</w:t>
            </w:r>
          </w:p>
        </w:tc>
      </w:tr>
      <w:tr w:rsidR="00A40277" w:rsidRPr="00835DC8" w:rsidTr="004637A5">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White</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2,359</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59.8</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61.0</w:t>
            </w:r>
          </w:p>
        </w:tc>
      </w:tr>
      <w:tr w:rsidR="00A40277" w:rsidRPr="00835DC8" w:rsidTr="004637A5">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BME</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277</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39.4</w:t>
            </w:r>
          </w:p>
        </w:tc>
        <w:tc>
          <w:tcPr>
            <w:tcW w:w="2254" w:type="dxa"/>
          </w:tcPr>
          <w:p w:rsidR="00A40277" w:rsidRPr="00835DC8" w:rsidRDefault="00A40277" w:rsidP="004637A5">
            <w:pPr>
              <w:rPr>
                <w:color w:val="365F91" w:themeColor="accent1" w:themeShade="BF"/>
                <w:sz w:val="24"/>
                <w:szCs w:val="24"/>
              </w:rPr>
            </w:pPr>
            <w:r w:rsidRPr="00835DC8">
              <w:rPr>
                <w:color w:val="365F91" w:themeColor="accent1" w:themeShade="BF"/>
                <w:sz w:val="24"/>
                <w:szCs w:val="24"/>
              </w:rPr>
              <w:t>46.8</w:t>
            </w:r>
          </w:p>
        </w:tc>
      </w:tr>
    </w:tbl>
    <w:p w:rsidR="00A40277" w:rsidRPr="00835DC8" w:rsidRDefault="00A40277" w:rsidP="00943657">
      <w:pPr>
        <w:spacing w:after="0"/>
        <w:rPr>
          <w:color w:val="365F91" w:themeColor="accent1" w:themeShade="BF"/>
          <w:sz w:val="24"/>
          <w:szCs w:val="24"/>
        </w:rPr>
      </w:pPr>
    </w:p>
    <w:p w:rsidR="00A40277" w:rsidRPr="00835DC8" w:rsidRDefault="000E1857" w:rsidP="00943657">
      <w:pPr>
        <w:spacing w:after="0"/>
        <w:rPr>
          <w:color w:val="365F91" w:themeColor="accent1" w:themeShade="BF"/>
          <w:sz w:val="24"/>
          <w:szCs w:val="24"/>
        </w:rPr>
      </w:pPr>
      <w:r w:rsidRPr="00835DC8">
        <w:rPr>
          <w:noProof/>
          <w:color w:val="365F91" w:themeColor="accent1" w:themeShade="BF"/>
          <w:sz w:val="24"/>
          <w:szCs w:val="24"/>
        </w:rPr>
        <w:lastRenderedPageBreak/>
        <w:drawing>
          <wp:inline distT="0" distB="0" distL="0" distR="0">
            <wp:extent cx="5486400" cy="32004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A40277" w:rsidRPr="00835DC8" w:rsidRDefault="00A40277" w:rsidP="00943657">
      <w:pPr>
        <w:spacing w:after="0"/>
        <w:rPr>
          <w:color w:val="365F91" w:themeColor="accent1" w:themeShade="BF"/>
          <w:sz w:val="24"/>
          <w:szCs w:val="24"/>
        </w:rPr>
      </w:pPr>
    </w:p>
    <w:p w:rsidR="00A40277" w:rsidRPr="00835DC8" w:rsidRDefault="000E1857" w:rsidP="00943657">
      <w:pPr>
        <w:spacing w:after="0"/>
        <w:rPr>
          <w:color w:val="365F91" w:themeColor="accent1" w:themeShade="BF"/>
          <w:sz w:val="24"/>
          <w:szCs w:val="24"/>
        </w:rPr>
      </w:pPr>
      <w:r w:rsidRPr="00835DC8">
        <w:rPr>
          <w:color w:val="365F91" w:themeColor="accent1" w:themeShade="BF"/>
          <w:sz w:val="24"/>
          <w:szCs w:val="24"/>
        </w:rPr>
        <w:t>What the data tells us:</w:t>
      </w:r>
    </w:p>
    <w:p w:rsidR="000E1857" w:rsidRPr="00835DC8" w:rsidRDefault="000E1857" w:rsidP="000E185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The percentage of SPFT staff from ethnic minority groups who believe that the Trust provides equal opportunities for career progression or promotion has decreased year on year</w:t>
      </w:r>
      <w:r w:rsidR="00B262EA" w:rsidRPr="00835DC8">
        <w:rPr>
          <w:color w:val="365F91" w:themeColor="accent1" w:themeShade="BF"/>
          <w:sz w:val="24"/>
          <w:szCs w:val="24"/>
        </w:rPr>
        <w:t>, from 54.0% in 2017 to 39.4% in 2021.</w:t>
      </w:r>
    </w:p>
    <w:p w:rsidR="00B262EA" w:rsidRPr="00835DC8" w:rsidRDefault="00B262EA" w:rsidP="000E1857">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The Trust's performance on Indicator 7 has dropped below the benchmark group average for the first time, indicating that we need to take specific actions to improve access to and equity of career progression and promotion.</w:t>
      </w:r>
    </w:p>
    <w:p w:rsidR="00B262EA" w:rsidRPr="00835DC8" w:rsidRDefault="00B262EA" w:rsidP="00B262EA">
      <w:pPr>
        <w:spacing w:after="0"/>
        <w:rPr>
          <w:color w:val="365F91" w:themeColor="accent1" w:themeShade="BF"/>
          <w:sz w:val="24"/>
          <w:szCs w:val="24"/>
        </w:rPr>
      </w:pPr>
    </w:p>
    <w:p w:rsidR="00B262EA" w:rsidRPr="00835DC8" w:rsidRDefault="00B262EA" w:rsidP="00B262EA">
      <w:pPr>
        <w:spacing w:after="0"/>
        <w:rPr>
          <w:color w:val="365F91" w:themeColor="accent1" w:themeShade="BF"/>
          <w:sz w:val="24"/>
          <w:szCs w:val="24"/>
        </w:rPr>
      </w:pPr>
      <w:r w:rsidRPr="00835DC8">
        <w:rPr>
          <w:color w:val="365F91" w:themeColor="accent1" w:themeShade="BF"/>
          <w:sz w:val="24"/>
          <w:szCs w:val="24"/>
        </w:rPr>
        <w:t>Indicator 7 will be given focused actions on our 2022 WRES action plan, closely linked to the focused actions on Indicator 2</w:t>
      </w:r>
      <w:r w:rsidR="009D578B">
        <w:rPr>
          <w:color w:val="365F91" w:themeColor="accent1" w:themeShade="BF"/>
          <w:sz w:val="24"/>
          <w:szCs w:val="24"/>
        </w:rPr>
        <w:t xml:space="preserve"> </w:t>
      </w:r>
      <w:r w:rsidRPr="00835DC8">
        <w:rPr>
          <w:color w:val="365F91" w:themeColor="accent1" w:themeShade="BF"/>
          <w:sz w:val="24"/>
          <w:szCs w:val="24"/>
        </w:rPr>
        <w:t>centred on our recruitment and selection processes</w:t>
      </w:r>
      <w:r w:rsidR="009D578B">
        <w:rPr>
          <w:color w:val="365F91" w:themeColor="accent1" w:themeShade="BF"/>
          <w:sz w:val="24"/>
          <w:szCs w:val="24"/>
        </w:rPr>
        <w:t>, and our new Talent Management Strategy</w:t>
      </w:r>
      <w:r w:rsidRPr="00835DC8">
        <w:rPr>
          <w:color w:val="365F91" w:themeColor="accent1" w:themeShade="BF"/>
          <w:sz w:val="24"/>
          <w:szCs w:val="24"/>
        </w:rPr>
        <w:t>. Our 2021 WRES action plan focused on career conversations, and tailored support for specific groups including night staff and specialty and specialist grade (SAS) doctors</w:t>
      </w:r>
      <w:r w:rsidR="009D578B">
        <w:rPr>
          <w:color w:val="365F91" w:themeColor="accent1" w:themeShade="BF"/>
          <w:sz w:val="24"/>
          <w:szCs w:val="24"/>
        </w:rPr>
        <w:t>, which we will continue to build upon.</w:t>
      </w:r>
    </w:p>
    <w:p w:rsidR="00B262EA" w:rsidRPr="00835DC8" w:rsidRDefault="00B262EA" w:rsidP="00B262EA">
      <w:pPr>
        <w:spacing w:after="0"/>
        <w:rPr>
          <w:color w:val="365F91" w:themeColor="accent1" w:themeShade="BF"/>
          <w:sz w:val="24"/>
          <w:szCs w:val="24"/>
        </w:rPr>
      </w:pPr>
    </w:p>
    <w:p w:rsidR="00B262EA" w:rsidRPr="00835DC8" w:rsidRDefault="00B262EA" w:rsidP="00B262EA">
      <w:pPr>
        <w:spacing w:after="0"/>
        <w:rPr>
          <w:color w:val="365F91" w:themeColor="accent1" w:themeShade="BF"/>
          <w:sz w:val="36"/>
          <w:szCs w:val="36"/>
        </w:rPr>
      </w:pPr>
      <w:r w:rsidRPr="00835DC8">
        <w:rPr>
          <w:color w:val="365F91" w:themeColor="accent1" w:themeShade="BF"/>
          <w:sz w:val="36"/>
          <w:szCs w:val="36"/>
        </w:rPr>
        <w:t>Indicator 8</w:t>
      </w:r>
    </w:p>
    <w:p w:rsidR="00A51292" w:rsidRPr="00835DC8" w:rsidRDefault="00BA2A91" w:rsidP="00BA2A91">
      <w:pPr>
        <w:spacing w:after="0"/>
        <w:rPr>
          <w:color w:val="365F91" w:themeColor="accent1" w:themeShade="BF"/>
          <w:sz w:val="24"/>
          <w:szCs w:val="24"/>
        </w:rPr>
      </w:pPr>
      <w:r w:rsidRPr="00835DC8">
        <w:rPr>
          <w:color w:val="365F91" w:themeColor="accent1" w:themeShade="BF"/>
          <w:sz w:val="24"/>
          <w:szCs w:val="24"/>
        </w:rPr>
        <w:t>Percentage of staff experiencing discrimination</w:t>
      </w:r>
      <w:r w:rsidR="00A51292" w:rsidRPr="00835DC8">
        <w:rPr>
          <w:color w:val="365F91" w:themeColor="accent1" w:themeShade="BF"/>
          <w:sz w:val="24"/>
          <w:szCs w:val="24"/>
        </w:rPr>
        <w:t xml:space="preserve"> </w:t>
      </w:r>
      <w:r w:rsidRPr="00835DC8">
        <w:rPr>
          <w:color w:val="365F91" w:themeColor="accent1" w:themeShade="BF"/>
          <w:sz w:val="24"/>
          <w:szCs w:val="24"/>
        </w:rPr>
        <w:t xml:space="preserve">at work from </w:t>
      </w:r>
      <w:r w:rsidR="005A642A">
        <w:rPr>
          <w:color w:val="365F91" w:themeColor="accent1" w:themeShade="BF"/>
          <w:sz w:val="24"/>
          <w:szCs w:val="24"/>
        </w:rPr>
        <w:t xml:space="preserve">their </w:t>
      </w:r>
      <w:r w:rsidRPr="00835DC8">
        <w:rPr>
          <w:color w:val="365F91" w:themeColor="accent1" w:themeShade="BF"/>
          <w:sz w:val="24"/>
          <w:szCs w:val="24"/>
        </w:rPr>
        <w:t>manager/team leader or other colleagues in</w:t>
      </w:r>
      <w:r w:rsidR="005A642A">
        <w:rPr>
          <w:color w:val="365F91" w:themeColor="accent1" w:themeShade="BF"/>
          <w:sz w:val="24"/>
          <w:szCs w:val="24"/>
        </w:rPr>
        <w:t xml:space="preserve"> the</w:t>
      </w:r>
      <w:r w:rsidRPr="00835DC8">
        <w:rPr>
          <w:color w:val="365F91" w:themeColor="accent1" w:themeShade="BF"/>
          <w:sz w:val="24"/>
          <w:szCs w:val="24"/>
        </w:rPr>
        <w:t xml:space="preserve"> last 12 months</w:t>
      </w:r>
      <w:r w:rsidR="00A51292" w:rsidRPr="00835DC8">
        <w:rPr>
          <w:color w:val="365F91" w:themeColor="accent1" w:themeShade="BF"/>
          <w:sz w:val="24"/>
          <w:szCs w:val="24"/>
        </w:rPr>
        <w:t>.</w:t>
      </w:r>
    </w:p>
    <w:p w:rsidR="00A51292" w:rsidRPr="00835DC8" w:rsidRDefault="00A51292" w:rsidP="00BA2A91">
      <w:pPr>
        <w:spacing w:after="0"/>
        <w:rPr>
          <w:color w:val="365F91" w:themeColor="accent1" w:themeShade="BF"/>
          <w:sz w:val="24"/>
          <w:szCs w:val="24"/>
        </w:rPr>
      </w:pPr>
    </w:p>
    <w:p w:rsidR="00A51292" w:rsidRPr="00835DC8" w:rsidRDefault="00A51292" w:rsidP="00A51292">
      <w:pPr>
        <w:spacing w:after="0"/>
        <w:rPr>
          <w:color w:val="365F91" w:themeColor="accent1" w:themeShade="BF"/>
          <w:sz w:val="24"/>
          <w:szCs w:val="24"/>
        </w:rPr>
      </w:pPr>
      <w:r w:rsidRPr="00835DC8">
        <w:rPr>
          <w:color w:val="365F91" w:themeColor="accent1" w:themeShade="BF"/>
          <w:sz w:val="24"/>
          <w:szCs w:val="24"/>
        </w:rPr>
        <w:t>Note: this is taken directly from Q1</w:t>
      </w:r>
      <w:r w:rsidR="000B718E">
        <w:rPr>
          <w:color w:val="365F91" w:themeColor="accent1" w:themeShade="BF"/>
          <w:sz w:val="24"/>
          <w:szCs w:val="24"/>
        </w:rPr>
        <w:t>6</w:t>
      </w:r>
      <w:r w:rsidRPr="00835DC8">
        <w:rPr>
          <w:color w:val="365F91" w:themeColor="accent1" w:themeShade="BF"/>
          <w:sz w:val="24"/>
          <w:szCs w:val="24"/>
        </w:rPr>
        <w:t>b of the 2021 NHS Staff Survey. Our benchmark group is made up of Mental Health, Learning Disability and Community Trusts.</w:t>
      </w:r>
    </w:p>
    <w:p w:rsidR="00A51292" w:rsidRPr="00835DC8" w:rsidRDefault="00A51292" w:rsidP="00A51292">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2254"/>
        <w:gridCol w:w="2254"/>
        <w:gridCol w:w="2254"/>
      </w:tblGrid>
      <w:tr w:rsidR="007E40D0" w:rsidRPr="00835DC8" w:rsidTr="009F782A">
        <w:tc>
          <w:tcPr>
            <w:tcW w:w="2254" w:type="dxa"/>
            <w:shd w:val="clear" w:color="auto" w:fill="F2F2F2" w:themeFill="background1" w:themeFillShade="F2"/>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Q1</w:t>
            </w:r>
            <w:r w:rsidR="000B718E">
              <w:rPr>
                <w:color w:val="365F91" w:themeColor="accent1" w:themeShade="BF"/>
                <w:sz w:val="24"/>
                <w:szCs w:val="24"/>
              </w:rPr>
              <w:t>6</w:t>
            </w:r>
            <w:r w:rsidRPr="00835DC8">
              <w:rPr>
                <w:color w:val="365F91" w:themeColor="accent1" w:themeShade="BF"/>
                <w:sz w:val="24"/>
                <w:szCs w:val="24"/>
              </w:rPr>
              <w:t>b 2021</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Number of responses</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 experiencing discrimination</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Benchmark group average (median)</w:t>
            </w:r>
          </w:p>
        </w:tc>
      </w:tr>
      <w:tr w:rsidR="007E40D0" w:rsidRPr="00835DC8" w:rsidTr="004637A5">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White</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2,374</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7.0</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6.0</w:t>
            </w:r>
          </w:p>
        </w:tc>
      </w:tr>
      <w:tr w:rsidR="007E40D0" w:rsidRPr="00835DC8" w:rsidTr="004637A5">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BME</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280</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16.1</w:t>
            </w:r>
          </w:p>
        </w:tc>
        <w:tc>
          <w:tcPr>
            <w:tcW w:w="2254" w:type="dxa"/>
          </w:tcPr>
          <w:p w:rsidR="007E40D0" w:rsidRPr="00835DC8" w:rsidRDefault="007E40D0" w:rsidP="004637A5">
            <w:pPr>
              <w:rPr>
                <w:color w:val="365F91" w:themeColor="accent1" w:themeShade="BF"/>
                <w:sz w:val="24"/>
                <w:szCs w:val="24"/>
              </w:rPr>
            </w:pPr>
            <w:r w:rsidRPr="00835DC8">
              <w:rPr>
                <w:color w:val="365F91" w:themeColor="accent1" w:themeShade="BF"/>
                <w:sz w:val="24"/>
                <w:szCs w:val="24"/>
              </w:rPr>
              <w:t>14.4</w:t>
            </w:r>
          </w:p>
        </w:tc>
      </w:tr>
    </w:tbl>
    <w:p w:rsidR="00A51292" w:rsidRPr="00835DC8" w:rsidRDefault="00A51292" w:rsidP="00A51292">
      <w:pPr>
        <w:spacing w:after="0"/>
        <w:rPr>
          <w:color w:val="365F91" w:themeColor="accent1" w:themeShade="BF"/>
          <w:sz w:val="24"/>
          <w:szCs w:val="24"/>
        </w:rPr>
      </w:pPr>
    </w:p>
    <w:p w:rsidR="00A51292" w:rsidRPr="00835DC8" w:rsidRDefault="007E40D0" w:rsidP="00BA2A91">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7E40D0" w:rsidRPr="00835DC8" w:rsidRDefault="007E40D0" w:rsidP="00BA2A91">
      <w:pPr>
        <w:spacing w:after="0"/>
        <w:rPr>
          <w:color w:val="365F91" w:themeColor="accent1" w:themeShade="BF"/>
          <w:sz w:val="24"/>
          <w:szCs w:val="24"/>
        </w:rPr>
      </w:pPr>
    </w:p>
    <w:p w:rsidR="007E40D0" w:rsidRPr="00835DC8" w:rsidRDefault="007E40D0" w:rsidP="00BA2A91">
      <w:pPr>
        <w:spacing w:after="0"/>
        <w:rPr>
          <w:color w:val="365F91" w:themeColor="accent1" w:themeShade="BF"/>
          <w:sz w:val="24"/>
          <w:szCs w:val="24"/>
        </w:rPr>
      </w:pPr>
      <w:r w:rsidRPr="00835DC8">
        <w:rPr>
          <w:color w:val="365F91" w:themeColor="accent1" w:themeShade="BF"/>
          <w:sz w:val="24"/>
          <w:szCs w:val="24"/>
        </w:rPr>
        <w:t>What the data tells us:</w:t>
      </w:r>
    </w:p>
    <w:p w:rsidR="007E40D0" w:rsidRPr="00835DC8" w:rsidRDefault="0052072D" w:rsidP="007E40D0">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The percentage of SPFT staff from ethnic minority groups experiencing discrimination at work in the past year has been increasing since 2019, and is now at 16.1%</w:t>
      </w:r>
      <w:r w:rsidR="00E600DE" w:rsidRPr="00835DC8">
        <w:rPr>
          <w:color w:val="365F91" w:themeColor="accent1" w:themeShade="BF"/>
          <w:sz w:val="24"/>
          <w:szCs w:val="24"/>
        </w:rPr>
        <w:t>, above the benchmark group average of 14.4%</w:t>
      </w:r>
      <w:r w:rsidRPr="00835DC8">
        <w:rPr>
          <w:color w:val="365F91" w:themeColor="accent1" w:themeShade="BF"/>
          <w:sz w:val="24"/>
          <w:szCs w:val="24"/>
        </w:rPr>
        <w:t>.</w:t>
      </w:r>
    </w:p>
    <w:p w:rsidR="0052072D" w:rsidRPr="00835DC8" w:rsidRDefault="0052072D" w:rsidP="007E40D0">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 xml:space="preserve">The disparity between the experiences of white staff and staff from ethnic minority groups has been widening </w:t>
      </w:r>
      <w:r w:rsidR="00E600DE" w:rsidRPr="00835DC8">
        <w:rPr>
          <w:color w:val="365F91" w:themeColor="accent1" w:themeShade="BF"/>
          <w:sz w:val="24"/>
          <w:szCs w:val="24"/>
        </w:rPr>
        <w:t xml:space="preserve">at the Trust </w:t>
      </w:r>
      <w:r w:rsidRPr="00835DC8">
        <w:rPr>
          <w:color w:val="365F91" w:themeColor="accent1" w:themeShade="BF"/>
          <w:sz w:val="24"/>
          <w:szCs w:val="24"/>
        </w:rPr>
        <w:t>since 2017</w:t>
      </w:r>
      <w:r w:rsidR="00E600DE" w:rsidRPr="00835DC8">
        <w:rPr>
          <w:color w:val="365F91" w:themeColor="accent1" w:themeShade="BF"/>
          <w:sz w:val="24"/>
          <w:szCs w:val="24"/>
        </w:rPr>
        <w:t>; in 2017 it was 7.7% and 14.0% respectively (a 6.3% gap), and in 2021 it was 7.0% and 16.1% respectively (a 9.1% gap).</w:t>
      </w:r>
    </w:p>
    <w:p w:rsidR="00E600DE" w:rsidRPr="00835DC8" w:rsidRDefault="00E600DE" w:rsidP="00E600DE">
      <w:pPr>
        <w:spacing w:after="0"/>
        <w:rPr>
          <w:color w:val="365F91" w:themeColor="accent1" w:themeShade="BF"/>
          <w:sz w:val="24"/>
          <w:szCs w:val="24"/>
        </w:rPr>
      </w:pPr>
    </w:p>
    <w:p w:rsidR="00E600DE" w:rsidRPr="00835DC8" w:rsidRDefault="00E600DE" w:rsidP="00E600DE">
      <w:pPr>
        <w:spacing w:after="0"/>
        <w:rPr>
          <w:color w:val="365F91" w:themeColor="accent1" w:themeShade="BF"/>
          <w:sz w:val="24"/>
          <w:szCs w:val="24"/>
        </w:rPr>
      </w:pPr>
      <w:r w:rsidRPr="00835DC8">
        <w:rPr>
          <w:color w:val="365F91" w:themeColor="accent1" w:themeShade="BF"/>
          <w:sz w:val="24"/>
          <w:szCs w:val="24"/>
        </w:rPr>
        <w:t>Indicator 8 will be given focused actions on our 2022 WRES action plan</w:t>
      </w:r>
      <w:r w:rsidR="009D578B">
        <w:rPr>
          <w:color w:val="365F91" w:themeColor="accent1" w:themeShade="BF"/>
          <w:sz w:val="24"/>
          <w:szCs w:val="24"/>
        </w:rPr>
        <w:t>, including the promotion of speaking up across the Trust, and a programme of events for Black History Month</w:t>
      </w:r>
      <w:r w:rsidRPr="00835DC8">
        <w:rPr>
          <w:color w:val="365F91" w:themeColor="accent1" w:themeShade="BF"/>
          <w:sz w:val="24"/>
          <w:szCs w:val="24"/>
        </w:rPr>
        <w:t>. A key action in progress from our 2021 WRES action plan is the development of our first Antiracism Policy, which will support the actions listed against Indicator 5 focused on civility, allyship and cultural change.</w:t>
      </w:r>
    </w:p>
    <w:p w:rsidR="00E600DE" w:rsidRPr="00835DC8" w:rsidRDefault="00E600DE" w:rsidP="00E600DE">
      <w:pPr>
        <w:spacing w:after="0"/>
        <w:rPr>
          <w:color w:val="365F91" w:themeColor="accent1" w:themeShade="BF"/>
          <w:sz w:val="24"/>
          <w:szCs w:val="24"/>
        </w:rPr>
      </w:pPr>
    </w:p>
    <w:p w:rsidR="00E600DE" w:rsidRPr="00835DC8" w:rsidRDefault="00E600DE" w:rsidP="00E600DE">
      <w:pPr>
        <w:spacing w:after="0"/>
        <w:rPr>
          <w:color w:val="365F91" w:themeColor="accent1" w:themeShade="BF"/>
          <w:sz w:val="36"/>
          <w:szCs w:val="36"/>
        </w:rPr>
      </w:pPr>
      <w:r w:rsidRPr="00835DC8">
        <w:rPr>
          <w:color w:val="365F91" w:themeColor="accent1" w:themeShade="BF"/>
          <w:sz w:val="36"/>
          <w:szCs w:val="36"/>
        </w:rPr>
        <w:t>Indicator 9</w:t>
      </w:r>
    </w:p>
    <w:p w:rsidR="009A79A3" w:rsidRPr="00835DC8" w:rsidRDefault="009A79A3" w:rsidP="009A79A3">
      <w:pPr>
        <w:spacing w:after="0"/>
        <w:rPr>
          <w:color w:val="365F91" w:themeColor="accent1" w:themeShade="BF"/>
          <w:sz w:val="24"/>
          <w:szCs w:val="24"/>
        </w:rPr>
      </w:pPr>
      <w:r w:rsidRPr="00835DC8">
        <w:rPr>
          <w:color w:val="365F91" w:themeColor="accent1" w:themeShade="BF"/>
          <w:sz w:val="24"/>
          <w:szCs w:val="24"/>
        </w:rPr>
        <w:t>Percentage difference between:</w:t>
      </w:r>
    </w:p>
    <w:p w:rsidR="00916910" w:rsidRPr="00835DC8" w:rsidRDefault="00916910" w:rsidP="009A79A3">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T</w:t>
      </w:r>
      <w:r w:rsidR="009A79A3" w:rsidRPr="00835DC8">
        <w:rPr>
          <w:color w:val="365F91" w:themeColor="accent1" w:themeShade="BF"/>
          <w:sz w:val="24"/>
          <w:szCs w:val="24"/>
        </w:rPr>
        <w:t xml:space="preserve">he </w:t>
      </w:r>
      <w:r w:rsidRPr="00835DC8">
        <w:rPr>
          <w:color w:val="365F91" w:themeColor="accent1" w:themeShade="BF"/>
          <w:sz w:val="24"/>
          <w:szCs w:val="24"/>
        </w:rPr>
        <w:t>Trust'</w:t>
      </w:r>
      <w:r w:rsidR="009A79A3" w:rsidRPr="00835DC8">
        <w:rPr>
          <w:color w:val="365F91" w:themeColor="accent1" w:themeShade="BF"/>
          <w:sz w:val="24"/>
          <w:szCs w:val="24"/>
        </w:rPr>
        <w:t xml:space="preserve">s Board voting membership and its overall workforce </w:t>
      </w:r>
    </w:p>
    <w:p w:rsidR="00E600DE" w:rsidRPr="00835DC8" w:rsidRDefault="00916910" w:rsidP="009A79A3">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T</w:t>
      </w:r>
      <w:r w:rsidR="009A79A3" w:rsidRPr="00835DC8">
        <w:rPr>
          <w:color w:val="365F91" w:themeColor="accent1" w:themeShade="BF"/>
          <w:sz w:val="24"/>
          <w:szCs w:val="24"/>
        </w:rPr>
        <w:t xml:space="preserve">he </w:t>
      </w:r>
      <w:r w:rsidRPr="00835DC8">
        <w:rPr>
          <w:color w:val="365F91" w:themeColor="accent1" w:themeShade="BF"/>
          <w:sz w:val="24"/>
          <w:szCs w:val="24"/>
        </w:rPr>
        <w:t>Trust's</w:t>
      </w:r>
      <w:r w:rsidR="009A79A3" w:rsidRPr="00835DC8">
        <w:rPr>
          <w:color w:val="365F91" w:themeColor="accent1" w:themeShade="BF"/>
          <w:sz w:val="24"/>
          <w:szCs w:val="24"/>
        </w:rPr>
        <w:t xml:space="preserve"> Board executive membership and its overall workforce</w:t>
      </w:r>
    </w:p>
    <w:p w:rsidR="004637A5" w:rsidRPr="00835DC8" w:rsidRDefault="004637A5" w:rsidP="004637A5">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2254"/>
        <w:gridCol w:w="1994"/>
        <w:gridCol w:w="2268"/>
        <w:gridCol w:w="2500"/>
      </w:tblGrid>
      <w:tr w:rsidR="004637A5" w:rsidRPr="00835DC8" w:rsidTr="009F782A">
        <w:tc>
          <w:tcPr>
            <w:tcW w:w="2254" w:type="dxa"/>
            <w:shd w:val="clear" w:color="auto" w:fill="F2F2F2" w:themeFill="background1" w:themeFillShade="F2"/>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 xml:space="preserve">Board breakdown </w:t>
            </w:r>
          </w:p>
        </w:tc>
        <w:tc>
          <w:tcPr>
            <w:tcW w:w="1994"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Board total</w:t>
            </w:r>
          </w:p>
        </w:tc>
        <w:tc>
          <w:tcPr>
            <w:tcW w:w="2268"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Voting membership</w:t>
            </w:r>
          </w:p>
        </w:tc>
        <w:tc>
          <w:tcPr>
            <w:tcW w:w="2500"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Executive membership</w:t>
            </w:r>
          </w:p>
        </w:tc>
      </w:tr>
      <w:tr w:rsidR="004637A5" w:rsidRPr="00835DC8" w:rsidTr="009F782A">
        <w:tc>
          <w:tcPr>
            <w:tcW w:w="2254"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White</w:t>
            </w:r>
          </w:p>
        </w:tc>
        <w:tc>
          <w:tcPr>
            <w:tcW w:w="1994"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13</w:t>
            </w:r>
          </w:p>
        </w:tc>
        <w:tc>
          <w:tcPr>
            <w:tcW w:w="2268"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9</w:t>
            </w:r>
          </w:p>
        </w:tc>
        <w:tc>
          <w:tcPr>
            <w:tcW w:w="2500"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8</w:t>
            </w:r>
          </w:p>
        </w:tc>
      </w:tr>
      <w:tr w:rsidR="004637A5" w:rsidRPr="00835DC8" w:rsidTr="009F782A">
        <w:tc>
          <w:tcPr>
            <w:tcW w:w="2254"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BME</w:t>
            </w:r>
          </w:p>
        </w:tc>
        <w:tc>
          <w:tcPr>
            <w:tcW w:w="1994"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3</w:t>
            </w:r>
          </w:p>
        </w:tc>
        <w:tc>
          <w:tcPr>
            <w:tcW w:w="2268"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3</w:t>
            </w:r>
          </w:p>
        </w:tc>
        <w:tc>
          <w:tcPr>
            <w:tcW w:w="2500"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w:t>
            </w:r>
          </w:p>
        </w:tc>
      </w:tr>
      <w:tr w:rsidR="004637A5" w:rsidRPr="00835DC8" w:rsidTr="009F782A">
        <w:tc>
          <w:tcPr>
            <w:tcW w:w="2254"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t>Unknown</w:t>
            </w:r>
          </w:p>
        </w:tc>
        <w:tc>
          <w:tcPr>
            <w:tcW w:w="1994"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w:t>
            </w:r>
          </w:p>
        </w:tc>
        <w:tc>
          <w:tcPr>
            <w:tcW w:w="2268"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w:t>
            </w:r>
          </w:p>
        </w:tc>
        <w:tc>
          <w:tcPr>
            <w:tcW w:w="2500"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0</w:t>
            </w:r>
          </w:p>
        </w:tc>
      </w:tr>
      <w:tr w:rsidR="004637A5" w:rsidRPr="00835DC8" w:rsidTr="009F782A">
        <w:tc>
          <w:tcPr>
            <w:tcW w:w="2254" w:type="dxa"/>
          </w:tcPr>
          <w:p w:rsidR="004637A5" w:rsidRPr="00835DC8" w:rsidRDefault="004637A5" w:rsidP="004637A5">
            <w:pPr>
              <w:rPr>
                <w:color w:val="365F91" w:themeColor="accent1" w:themeShade="BF"/>
                <w:sz w:val="24"/>
                <w:szCs w:val="24"/>
              </w:rPr>
            </w:pPr>
            <w:r w:rsidRPr="00835DC8">
              <w:rPr>
                <w:color w:val="365F91" w:themeColor="accent1" w:themeShade="BF"/>
                <w:sz w:val="24"/>
                <w:szCs w:val="24"/>
              </w:rPr>
              <w:lastRenderedPageBreak/>
              <w:t>Total</w:t>
            </w:r>
          </w:p>
        </w:tc>
        <w:tc>
          <w:tcPr>
            <w:tcW w:w="1994"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17</w:t>
            </w:r>
          </w:p>
        </w:tc>
        <w:tc>
          <w:tcPr>
            <w:tcW w:w="2268"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13</w:t>
            </w:r>
          </w:p>
        </w:tc>
        <w:tc>
          <w:tcPr>
            <w:tcW w:w="2500" w:type="dxa"/>
          </w:tcPr>
          <w:p w:rsidR="004637A5" w:rsidRPr="00835DC8" w:rsidRDefault="00317029" w:rsidP="004637A5">
            <w:pPr>
              <w:rPr>
                <w:color w:val="365F91" w:themeColor="accent1" w:themeShade="BF"/>
                <w:sz w:val="24"/>
                <w:szCs w:val="24"/>
              </w:rPr>
            </w:pPr>
            <w:r w:rsidRPr="00835DC8">
              <w:rPr>
                <w:color w:val="365F91" w:themeColor="accent1" w:themeShade="BF"/>
                <w:sz w:val="24"/>
                <w:szCs w:val="24"/>
              </w:rPr>
              <w:t>9</w:t>
            </w:r>
          </w:p>
        </w:tc>
      </w:tr>
    </w:tbl>
    <w:p w:rsidR="004637A5" w:rsidRPr="00835DC8" w:rsidRDefault="004637A5" w:rsidP="004637A5">
      <w:pPr>
        <w:spacing w:after="0"/>
        <w:rPr>
          <w:color w:val="365F91" w:themeColor="accent1" w:themeShade="BF"/>
          <w:sz w:val="24"/>
          <w:szCs w:val="24"/>
        </w:rPr>
      </w:pPr>
    </w:p>
    <w:tbl>
      <w:tblPr>
        <w:tblStyle w:val="TableGrid"/>
        <w:tblW w:w="0" w:type="auto"/>
        <w:tblLook w:val="04A0" w:firstRow="1" w:lastRow="0" w:firstColumn="1" w:lastColumn="0" w:noHBand="0" w:noVBand="1"/>
      </w:tblPr>
      <w:tblGrid>
        <w:gridCol w:w="1803"/>
        <w:gridCol w:w="1803"/>
        <w:gridCol w:w="1803"/>
        <w:gridCol w:w="1803"/>
        <w:gridCol w:w="1804"/>
      </w:tblGrid>
      <w:tr w:rsidR="0094652A" w:rsidRPr="00835DC8" w:rsidTr="009F782A">
        <w:tc>
          <w:tcPr>
            <w:tcW w:w="1803" w:type="dxa"/>
            <w:shd w:val="clear" w:color="auto" w:fill="F2F2F2" w:themeFill="background1" w:themeFillShade="F2"/>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Percentage breakdowns</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Workforce %</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Board %</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Voting membership %</w:t>
            </w:r>
          </w:p>
        </w:tc>
        <w:tc>
          <w:tcPr>
            <w:tcW w:w="1804"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Executive membership %</w:t>
            </w:r>
          </w:p>
        </w:tc>
      </w:tr>
      <w:tr w:rsidR="0094652A" w:rsidRPr="00835DC8" w:rsidTr="0094652A">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White</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85.77</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76.47</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69.23</w:t>
            </w:r>
          </w:p>
        </w:tc>
        <w:tc>
          <w:tcPr>
            <w:tcW w:w="1804"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88.89</w:t>
            </w:r>
          </w:p>
        </w:tc>
      </w:tr>
      <w:tr w:rsidR="0094652A" w:rsidRPr="00835DC8" w:rsidTr="0094652A">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BME</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12.96</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17.65</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23.08</w:t>
            </w:r>
          </w:p>
        </w:tc>
        <w:tc>
          <w:tcPr>
            <w:tcW w:w="1804"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11.11</w:t>
            </w:r>
          </w:p>
        </w:tc>
      </w:tr>
      <w:tr w:rsidR="0094652A" w:rsidRPr="00835DC8" w:rsidTr="0094652A">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Unknown</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1.27</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5.88</w:t>
            </w:r>
          </w:p>
        </w:tc>
        <w:tc>
          <w:tcPr>
            <w:tcW w:w="1803"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7.69</w:t>
            </w:r>
          </w:p>
        </w:tc>
        <w:tc>
          <w:tcPr>
            <w:tcW w:w="1804" w:type="dxa"/>
          </w:tcPr>
          <w:p w:rsidR="0094652A" w:rsidRPr="00835DC8" w:rsidRDefault="0094652A" w:rsidP="004637A5">
            <w:pPr>
              <w:rPr>
                <w:color w:val="365F91" w:themeColor="accent1" w:themeShade="BF"/>
                <w:sz w:val="24"/>
                <w:szCs w:val="24"/>
              </w:rPr>
            </w:pPr>
            <w:r w:rsidRPr="00835DC8">
              <w:rPr>
                <w:color w:val="365F91" w:themeColor="accent1" w:themeShade="BF"/>
                <w:sz w:val="24"/>
                <w:szCs w:val="24"/>
              </w:rPr>
              <w:t>0.00</w:t>
            </w:r>
          </w:p>
        </w:tc>
      </w:tr>
    </w:tbl>
    <w:p w:rsidR="00317029" w:rsidRPr="00835DC8" w:rsidRDefault="00317029" w:rsidP="004637A5">
      <w:pPr>
        <w:spacing w:after="0"/>
        <w:rPr>
          <w:color w:val="365F91" w:themeColor="accent1" w:themeShade="BF"/>
          <w:sz w:val="24"/>
          <w:szCs w:val="24"/>
        </w:rPr>
      </w:pPr>
    </w:p>
    <w:p w:rsidR="00916910" w:rsidRPr="00835DC8" w:rsidRDefault="0094652A" w:rsidP="00916910">
      <w:pPr>
        <w:spacing w:after="0"/>
        <w:rPr>
          <w:color w:val="365F91" w:themeColor="accent1" w:themeShade="BF"/>
          <w:sz w:val="24"/>
          <w:szCs w:val="24"/>
        </w:rPr>
      </w:pPr>
      <w:r w:rsidRPr="00835DC8">
        <w:rPr>
          <w:noProof/>
          <w:color w:val="365F91" w:themeColor="accent1" w:themeShade="BF"/>
          <w:sz w:val="24"/>
          <w:szCs w:val="24"/>
        </w:rPr>
        <w:drawing>
          <wp:inline distT="0" distB="0" distL="0" distR="0">
            <wp:extent cx="5486400" cy="32004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916910" w:rsidRPr="00835DC8" w:rsidRDefault="00916910" w:rsidP="00916910">
      <w:pPr>
        <w:spacing w:after="0"/>
        <w:rPr>
          <w:color w:val="365F91" w:themeColor="accent1" w:themeShade="BF"/>
          <w:sz w:val="24"/>
          <w:szCs w:val="24"/>
        </w:rPr>
      </w:pPr>
    </w:p>
    <w:p w:rsidR="00602612" w:rsidRPr="00835DC8" w:rsidRDefault="00602612" w:rsidP="00916910">
      <w:pPr>
        <w:spacing w:after="0"/>
        <w:rPr>
          <w:color w:val="365F91" w:themeColor="accent1" w:themeShade="BF"/>
          <w:sz w:val="24"/>
          <w:szCs w:val="24"/>
        </w:rPr>
      </w:pPr>
      <w:r w:rsidRPr="00835DC8">
        <w:rPr>
          <w:color w:val="365F91" w:themeColor="accent1" w:themeShade="BF"/>
          <w:sz w:val="24"/>
          <w:szCs w:val="24"/>
        </w:rPr>
        <w:t>What the data tells us:</w:t>
      </w:r>
    </w:p>
    <w:p w:rsidR="00602612" w:rsidRPr="00835DC8" w:rsidRDefault="00602612" w:rsidP="00602612">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 xml:space="preserve">Staff from ethnic minority groups are currently well-represented at Board level, when compared to the overall workforce. </w:t>
      </w:r>
    </w:p>
    <w:p w:rsidR="00602612" w:rsidRPr="00835DC8" w:rsidRDefault="00602612" w:rsidP="00602612">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The Trust performs particularly well when the Board is disaggregated by voting membership</w:t>
      </w:r>
      <w:r w:rsidR="009F782A" w:rsidRPr="00835DC8">
        <w:rPr>
          <w:color w:val="365F91" w:themeColor="accent1" w:themeShade="BF"/>
          <w:sz w:val="24"/>
          <w:szCs w:val="24"/>
        </w:rPr>
        <w:t>; 23.08% of voting members are from ethnic minority groups, compared to 12.96% of staff in the overall workforce.</w:t>
      </w:r>
    </w:p>
    <w:p w:rsidR="00E600DE" w:rsidRPr="00835DC8" w:rsidRDefault="00E600DE" w:rsidP="00E600DE">
      <w:pPr>
        <w:spacing w:after="0"/>
        <w:rPr>
          <w:color w:val="365F91" w:themeColor="accent1" w:themeShade="BF"/>
          <w:sz w:val="24"/>
          <w:szCs w:val="24"/>
        </w:rPr>
      </w:pPr>
    </w:p>
    <w:p w:rsidR="0072064C" w:rsidRPr="00835DC8" w:rsidRDefault="0072064C" w:rsidP="00E600DE">
      <w:pPr>
        <w:spacing w:after="0"/>
        <w:rPr>
          <w:color w:val="365F91" w:themeColor="accent1" w:themeShade="BF"/>
          <w:sz w:val="24"/>
          <w:szCs w:val="24"/>
        </w:rPr>
      </w:pPr>
      <w:r w:rsidRPr="00835DC8">
        <w:rPr>
          <w:color w:val="365F91" w:themeColor="accent1" w:themeShade="BF"/>
          <w:sz w:val="24"/>
          <w:szCs w:val="24"/>
        </w:rPr>
        <w:t>The Trust is currently performing well on Indicator 9, but our focus is on future appointments and leadership development. Actions against Indicator 9 on our 2021 WRES action plan detailed the new Inclusive Recruitment Advisor consulting on all future Board appointments, and the development of bespoke diversity and inclusion, psychological safety and culture change training within our Leadership Plus development programme.</w:t>
      </w:r>
      <w:r w:rsidR="006F55A1">
        <w:rPr>
          <w:color w:val="365F91" w:themeColor="accent1" w:themeShade="BF"/>
          <w:sz w:val="24"/>
          <w:szCs w:val="24"/>
        </w:rPr>
        <w:t xml:space="preserve"> The second cohort of Leadership Plus has been booked as of September 2022.</w:t>
      </w:r>
    </w:p>
    <w:p w:rsidR="0072064C" w:rsidRPr="00835DC8" w:rsidRDefault="0072064C" w:rsidP="00E600DE">
      <w:pPr>
        <w:spacing w:after="0"/>
        <w:rPr>
          <w:color w:val="365F91" w:themeColor="accent1" w:themeShade="BF"/>
          <w:sz w:val="24"/>
          <w:szCs w:val="24"/>
        </w:rPr>
      </w:pPr>
    </w:p>
    <w:p w:rsidR="0072064C" w:rsidRPr="00835DC8" w:rsidRDefault="0072064C" w:rsidP="00E600DE">
      <w:pPr>
        <w:spacing w:after="0"/>
        <w:rPr>
          <w:color w:val="365F91" w:themeColor="accent1" w:themeShade="BF"/>
          <w:sz w:val="36"/>
          <w:szCs w:val="36"/>
        </w:rPr>
      </w:pPr>
      <w:r w:rsidRPr="00835DC8">
        <w:rPr>
          <w:color w:val="365F91" w:themeColor="accent1" w:themeShade="BF"/>
          <w:sz w:val="36"/>
          <w:szCs w:val="36"/>
        </w:rPr>
        <w:t>Summary</w:t>
      </w:r>
    </w:p>
    <w:p w:rsidR="00C27100" w:rsidRPr="00835DC8" w:rsidRDefault="00C27100" w:rsidP="00E600DE">
      <w:pPr>
        <w:spacing w:after="0"/>
        <w:rPr>
          <w:color w:val="365F91" w:themeColor="accent1" w:themeShade="BF"/>
          <w:sz w:val="24"/>
          <w:szCs w:val="24"/>
        </w:rPr>
      </w:pPr>
      <w:r w:rsidRPr="00835DC8">
        <w:rPr>
          <w:color w:val="365F91" w:themeColor="accent1" w:themeShade="BF"/>
          <w:sz w:val="24"/>
          <w:szCs w:val="24"/>
        </w:rPr>
        <w:t xml:space="preserve">This year we have made a number of key equality improvements across the Trust, and moved our WRES action plan to a quarterly review model in order to monitor our progress </w:t>
      </w:r>
      <w:r w:rsidRPr="00835DC8">
        <w:rPr>
          <w:color w:val="365F91" w:themeColor="accent1" w:themeShade="BF"/>
          <w:sz w:val="24"/>
          <w:szCs w:val="24"/>
        </w:rPr>
        <w:lastRenderedPageBreak/>
        <w:t xml:space="preserve">more effectively. </w:t>
      </w:r>
      <w:r w:rsidR="00AD1B33" w:rsidRPr="00835DC8">
        <w:rPr>
          <w:color w:val="365F91" w:themeColor="accent1" w:themeShade="BF"/>
          <w:sz w:val="24"/>
          <w:szCs w:val="24"/>
        </w:rPr>
        <w:t>We have d</w:t>
      </w:r>
      <w:r w:rsidR="006F55A1">
        <w:rPr>
          <w:color w:val="365F91" w:themeColor="accent1" w:themeShade="BF"/>
          <w:sz w:val="24"/>
          <w:szCs w:val="24"/>
        </w:rPr>
        <w:t>raft</w:t>
      </w:r>
      <w:r w:rsidR="00AD1B33" w:rsidRPr="00835DC8">
        <w:rPr>
          <w:color w:val="365F91" w:themeColor="accent1" w:themeShade="BF"/>
          <w:sz w:val="24"/>
          <w:szCs w:val="24"/>
        </w:rPr>
        <w:t>ed a new Talent Management Strategy</w:t>
      </w:r>
      <w:r w:rsidR="006F55A1">
        <w:rPr>
          <w:color w:val="365F91" w:themeColor="accent1" w:themeShade="BF"/>
          <w:sz w:val="24"/>
          <w:szCs w:val="24"/>
        </w:rPr>
        <w:t xml:space="preserve">, developed </w:t>
      </w:r>
      <w:r w:rsidR="00AD1B33" w:rsidRPr="00835DC8">
        <w:rPr>
          <w:color w:val="365F91" w:themeColor="accent1" w:themeShade="BF"/>
          <w:sz w:val="24"/>
          <w:szCs w:val="24"/>
        </w:rPr>
        <w:t xml:space="preserve">a new Leadership Plus development programme, and delivered both Civility and Building Better Relationships training in partnership with Project Wingman and a three-part Culture and Civility training programme of Diversity in Action, Allyship and Reciprocal Mentoring. We have also made a number of </w:t>
      </w:r>
      <w:r w:rsidR="004A6D20" w:rsidRPr="00835DC8">
        <w:rPr>
          <w:color w:val="365F91" w:themeColor="accent1" w:themeShade="BF"/>
          <w:sz w:val="24"/>
          <w:szCs w:val="24"/>
        </w:rPr>
        <w:t>new</w:t>
      </w:r>
      <w:r w:rsidR="00AD1B33" w:rsidRPr="00835DC8">
        <w:rPr>
          <w:color w:val="365F91" w:themeColor="accent1" w:themeShade="BF"/>
          <w:sz w:val="24"/>
          <w:szCs w:val="24"/>
        </w:rPr>
        <w:t xml:space="preserve"> appointments to support our </w:t>
      </w:r>
      <w:r w:rsidR="006166CA" w:rsidRPr="00835DC8">
        <w:rPr>
          <w:color w:val="365F91" w:themeColor="accent1" w:themeShade="BF"/>
          <w:sz w:val="24"/>
          <w:szCs w:val="24"/>
        </w:rPr>
        <w:t xml:space="preserve">improvement </w:t>
      </w:r>
      <w:r w:rsidR="00AD1B33" w:rsidRPr="00835DC8">
        <w:rPr>
          <w:color w:val="365F91" w:themeColor="accent1" w:themeShade="BF"/>
          <w:sz w:val="24"/>
          <w:szCs w:val="24"/>
        </w:rPr>
        <w:t xml:space="preserve">work, including a Staff Network Coordinator, an Inclusive Recruitment Advisor, </w:t>
      </w:r>
      <w:r w:rsidR="008631AF" w:rsidRPr="00835DC8">
        <w:rPr>
          <w:color w:val="365F91" w:themeColor="accent1" w:themeShade="BF"/>
          <w:sz w:val="24"/>
          <w:szCs w:val="24"/>
        </w:rPr>
        <w:t xml:space="preserve">and </w:t>
      </w:r>
      <w:r w:rsidR="00AD1B33" w:rsidRPr="00835DC8">
        <w:rPr>
          <w:color w:val="365F91" w:themeColor="accent1" w:themeShade="BF"/>
          <w:sz w:val="24"/>
          <w:szCs w:val="24"/>
        </w:rPr>
        <w:t>a Violence Prevention and Reduction Manager.</w:t>
      </w:r>
    </w:p>
    <w:p w:rsidR="00AD1B33" w:rsidRPr="00835DC8" w:rsidRDefault="00AD1B33" w:rsidP="00E600DE">
      <w:pPr>
        <w:spacing w:after="0"/>
        <w:rPr>
          <w:color w:val="365F91" w:themeColor="accent1" w:themeShade="BF"/>
          <w:sz w:val="24"/>
          <w:szCs w:val="24"/>
        </w:rPr>
      </w:pPr>
    </w:p>
    <w:p w:rsidR="00AD1B33" w:rsidRPr="00835DC8" w:rsidRDefault="00B247AC" w:rsidP="00E600DE">
      <w:pPr>
        <w:spacing w:after="0"/>
        <w:rPr>
          <w:color w:val="365F91" w:themeColor="accent1" w:themeShade="BF"/>
          <w:sz w:val="24"/>
          <w:szCs w:val="24"/>
        </w:rPr>
      </w:pPr>
      <w:r w:rsidRPr="00835DC8">
        <w:rPr>
          <w:color w:val="365F91" w:themeColor="accent1" w:themeShade="BF"/>
          <w:sz w:val="24"/>
          <w:szCs w:val="24"/>
        </w:rPr>
        <w:t>Overall, the</w:t>
      </w:r>
      <w:r w:rsidR="00E330BC" w:rsidRPr="00835DC8">
        <w:rPr>
          <w:color w:val="365F91" w:themeColor="accent1" w:themeShade="BF"/>
          <w:sz w:val="24"/>
          <w:szCs w:val="24"/>
        </w:rPr>
        <w:t xml:space="preserve"> percentage of staff from ethnic minority groups in the</w:t>
      </w:r>
      <w:r w:rsidRPr="00835DC8">
        <w:rPr>
          <w:color w:val="365F91" w:themeColor="accent1" w:themeShade="BF"/>
          <w:sz w:val="24"/>
          <w:szCs w:val="24"/>
        </w:rPr>
        <w:t xml:space="preserve"> Trust's </w:t>
      </w:r>
      <w:r w:rsidR="00E330BC" w:rsidRPr="00835DC8">
        <w:rPr>
          <w:color w:val="365F91" w:themeColor="accent1" w:themeShade="BF"/>
          <w:sz w:val="24"/>
          <w:szCs w:val="24"/>
        </w:rPr>
        <w:t>workforce has increased slightly, from 12.48% to 12.96%</w:t>
      </w:r>
      <w:r w:rsidR="004A6D20" w:rsidRPr="00835DC8">
        <w:rPr>
          <w:color w:val="365F91" w:themeColor="accent1" w:themeShade="BF"/>
          <w:sz w:val="24"/>
          <w:szCs w:val="24"/>
        </w:rPr>
        <w:t xml:space="preserve">. We have also shown significant improvement against Indicator 3 - the relative likelihood of staff from ethnic minority groups entering formal disciplinary processes compared to white staff - with our likelihood decreasing from 3.56 to 1.66. Our performance against Indicator 6 - the percentage of staff experiencing harassment, bullying or abuse from staff in last 12 months - has </w:t>
      </w:r>
      <w:r w:rsidR="00DF6EC9" w:rsidRPr="00835DC8">
        <w:rPr>
          <w:color w:val="365F91" w:themeColor="accent1" w:themeShade="BF"/>
          <w:sz w:val="24"/>
          <w:szCs w:val="24"/>
        </w:rPr>
        <w:t>improved year on year since 2018</w:t>
      </w:r>
      <w:r w:rsidR="006166CA" w:rsidRPr="00835DC8">
        <w:rPr>
          <w:color w:val="365F91" w:themeColor="accent1" w:themeShade="BF"/>
          <w:sz w:val="24"/>
          <w:szCs w:val="24"/>
        </w:rPr>
        <w:t>, and at 21.0% is the furthest below our benchmark group's average (22.9%) to date. Finally, the Trust continues to perform well overall on Indicator 9 - Board representation - with staff from ethnic minority groups making up 17.65% of the Board, and 23.08% of voting members.</w:t>
      </w:r>
    </w:p>
    <w:p w:rsidR="006166CA" w:rsidRPr="00835DC8" w:rsidRDefault="006166CA" w:rsidP="00E600DE">
      <w:pPr>
        <w:spacing w:after="0"/>
        <w:rPr>
          <w:color w:val="365F91" w:themeColor="accent1" w:themeShade="BF"/>
          <w:sz w:val="24"/>
          <w:szCs w:val="24"/>
        </w:rPr>
      </w:pPr>
    </w:p>
    <w:p w:rsidR="006166CA" w:rsidRPr="00835DC8" w:rsidRDefault="006166CA" w:rsidP="00E600DE">
      <w:pPr>
        <w:spacing w:after="0"/>
        <w:rPr>
          <w:color w:val="365F91" w:themeColor="accent1" w:themeShade="BF"/>
          <w:sz w:val="24"/>
          <w:szCs w:val="24"/>
        </w:rPr>
      </w:pPr>
      <w:r w:rsidRPr="00835DC8">
        <w:rPr>
          <w:color w:val="365F91" w:themeColor="accent1" w:themeShade="BF"/>
          <w:sz w:val="24"/>
          <w:szCs w:val="24"/>
        </w:rPr>
        <w:t>However, there are areas that require specific focus in order to ensure improvement. Our 2022 WRES action plan will have focused actions against Indicator 2, Indicator 5, Indicator 7 and Indicator 8</w:t>
      </w:r>
      <w:r w:rsidR="008E50C1" w:rsidRPr="00835DC8">
        <w:rPr>
          <w:color w:val="365F91" w:themeColor="accent1" w:themeShade="BF"/>
          <w:sz w:val="24"/>
          <w:szCs w:val="24"/>
        </w:rPr>
        <w:t>.</w:t>
      </w:r>
    </w:p>
    <w:p w:rsidR="008E50C1" w:rsidRPr="00835DC8" w:rsidRDefault="008E50C1" w:rsidP="00E600DE">
      <w:pPr>
        <w:spacing w:after="0"/>
        <w:rPr>
          <w:color w:val="365F91" w:themeColor="accent1" w:themeShade="BF"/>
          <w:sz w:val="24"/>
          <w:szCs w:val="24"/>
        </w:rPr>
      </w:pPr>
    </w:p>
    <w:p w:rsidR="008E50C1" w:rsidRPr="00835DC8" w:rsidRDefault="006166CA" w:rsidP="002010A4">
      <w:pPr>
        <w:pStyle w:val="ListParagraph"/>
        <w:numPr>
          <w:ilvl w:val="0"/>
          <w:numId w:val="2"/>
        </w:numPr>
        <w:rPr>
          <w:color w:val="365F91" w:themeColor="accent1" w:themeShade="BF"/>
          <w:sz w:val="24"/>
          <w:szCs w:val="24"/>
        </w:rPr>
      </w:pPr>
      <w:r w:rsidRPr="00835DC8">
        <w:rPr>
          <w:color w:val="365F91" w:themeColor="accent1" w:themeShade="BF"/>
          <w:sz w:val="24"/>
          <w:szCs w:val="24"/>
        </w:rPr>
        <w:t>Indicator 2</w:t>
      </w:r>
      <w:r w:rsidR="008B670D" w:rsidRPr="00835DC8">
        <w:rPr>
          <w:color w:val="365F91" w:themeColor="accent1" w:themeShade="BF"/>
          <w:sz w:val="24"/>
          <w:szCs w:val="24"/>
        </w:rPr>
        <w:t xml:space="preserve">, the </w:t>
      </w:r>
      <w:r w:rsidR="008E50C1" w:rsidRPr="00835DC8">
        <w:rPr>
          <w:color w:val="365F91" w:themeColor="accent1" w:themeShade="BF"/>
          <w:sz w:val="24"/>
          <w:szCs w:val="24"/>
        </w:rPr>
        <w:t>relative likelihood of staff being appointed from shortlisting across all posts</w:t>
      </w:r>
      <w:r w:rsidR="008B670D" w:rsidRPr="00835DC8">
        <w:rPr>
          <w:color w:val="365F91" w:themeColor="accent1" w:themeShade="BF"/>
          <w:sz w:val="24"/>
          <w:szCs w:val="24"/>
        </w:rPr>
        <w:t>: w</w:t>
      </w:r>
      <w:r w:rsidR="002010A4" w:rsidRPr="00835DC8">
        <w:rPr>
          <w:color w:val="365F91" w:themeColor="accent1" w:themeShade="BF"/>
          <w:sz w:val="24"/>
          <w:szCs w:val="24"/>
        </w:rPr>
        <w:t>hite staff are currently 3.38 times more likely to be appointed from shortlisting than staff from ethnic minority groups.</w:t>
      </w:r>
    </w:p>
    <w:p w:rsidR="006166CA" w:rsidRPr="00835DC8" w:rsidRDefault="002010A4" w:rsidP="006166CA">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Indicator 5</w:t>
      </w:r>
      <w:r w:rsidR="008B670D" w:rsidRPr="00835DC8">
        <w:rPr>
          <w:color w:val="365F91" w:themeColor="accent1" w:themeShade="BF"/>
          <w:sz w:val="24"/>
          <w:szCs w:val="24"/>
        </w:rPr>
        <w:t xml:space="preserve">, the </w:t>
      </w:r>
      <w:r w:rsidRPr="00835DC8">
        <w:rPr>
          <w:color w:val="365F91" w:themeColor="accent1" w:themeShade="BF"/>
          <w:sz w:val="24"/>
          <w:szCs w:val="24"/>
        </w:rPr>
        <w:t>percentage of staff experiencing harassment, bullying or abuse from patients, relatives or the public in last 12 months</w:t>
      </w:r>
      <w:r w:rsidR="008B670D" w:rsidRPr="00835DC8">
        <w:rPr>
          <w:color w:val="365F91" w:themeColor="accent1" w:themeShade="BF"/>
          <w:sz w:val="24"/>
          <w:szCs w:val="24"/>
        </w:rPr>
        <w:t>: the percentage of staff from ethnic minority groups experiencing abuse has increased slightly to 34.6%, which is above the benchmark group average of 31.8%.</w:t>
      </w:r>
    </w:p>
    <w:p w:rsidR="002010A4" w:rsidRPr="00835DC8" w:rsidRDefault="002010A4" w:rsidP="006166CA">
      <w:pPr>
        <w:pStyle w:val="ListParagraph"/>
        <w:numPr>
          <w:ilvl w:val="0"/>
          <w:numId w:val="2"/>
        </w:numPr>
        <w:spacing w:after="0"/>
        <w:rPr>
          <w:color w:val="365F91" w:themeColor="accent1" w:themeShade="BF"/>
          <w:sz w:val="24"/>
          <w:szCs w:val="24"/>
        </w:rPr>
      </w:pPr>
      <w:r w:rsidRPr="00835DC8">
        <w:rPr>
          <w:color w:val="365F91" w:themeColor="accent1" w:themeShade="BF"/>
          <w:sz w:val="24"/>
          <w:szCs w:val="24"/>
        </w:rPr>
        <w:t>Indicator 7</w:t>
      </w:r>
      <w:r w:rsidR="008B670D" w:rsidRPr="00835DC8">
        <w:rPr>
          <w:color w:val="365F91" w:themeColor="accent1" w:themeShade="BF"/>
          <w:sz w:val="24"/>
          <w:szCs w:val="24"/>
        </w:rPr>
        <w:t xml:space="preserve">, the </w:t>
      </w:r>
      <w:r w:rsidRPr="00835DC8">
        <w:rPr>
          <w:color w:val="365F91" w:themeColor="accent1" w:themeShade="BF"/>
          <w:sz w:val="24"/>
          <w:szCs w:val="24"/>
        </w:rPr>
        <w:t>percentage of staff believing that the Trust provides equal opportunities for career progression or promotion</w:t>
      </w:r>
      <w:r w:rsidR="008B670D" w:rsidRPr="00835DC8">
        <w:rPr>
          <w:color w:val="365F91" w:themeColor="accent1" w:themeShade="BF"/>
          <w:sz w:val="24"/>
          <w:szCs w:val="24"/>
        </w:rPr>
        <w:t>: this has decreased year on year since 2017, down from 54.0% to 39.4%.</w:t>
      </w:r>
    </w:p>
    <w:p w:rsidR="006C46DA" w:rsidRPr="00835DC8" w:rsidRDefault="008B670D" w:rsidP="006C46DA">
      <w:pPr>
        <w:pStyle w:val="ListParagraph"/>
        <w:numPr>
          <w:ilvl w:val="0"/>
          <w:numId w:val="1"/>
        </w:numPr>
        <w:spacing w:after="0"/>
        <w:rPr>
          <w:color w:val="365F91" w:themeColor="accent1" w:themeShade="BF"/>
          <w:sz w:val="24"/>
          <w:szCs w:val="24"/>
        </w:rPr>
      </w:pPr>
      <w:r w:rsidRPr="00835DC8">
        <w:rPr>
          <w:color w:val="365F91" w:themeColor="accent1" w:themeShade="BF"/>
          <w:sz w:val="24"/>
          <w:szCs w:val="24"/>
        </w:rPr>
        <w:t>Indicator 8, the percentage of staff experiencing discrimination at work from manager/team leader or other colleagues in last 12 months</w:t>
      </w:r>
      <w:r w:rsidR="006C46DA" w:rsidRPr="00835DC8">
        <w:rPr>
          <w:color w:val="365F91" w:themeColor="accent1" w:themeShade="BF"/>
          <w:sz w:val="24"/>
          <w:szCs w:val="24"/>
        </w:rPr>
        <w:t>: 16.1% of staff from ethnic minority groups have experienced discrimination compared to the benchmark group average of 14.4%.</w:t>
      </w:r>
    </w:p>
    <w:p w:rsidR="006C46DA" w:rsidRPr="00835DC8" w:rsidRDefault="006C46DA" w:rsidP="006C46DA">
      <w:pPr>
        <w:spacing w:after="0"/>
        <w:rPr>
          <w:color w:val="365F91" w:themeColor="accent1" w:themeShade="BF"/>
          <w:sz w:val="24"/>
          <w:szCs w:val="24"/>
        </w:rPr>
      </w:pPr>
    </w:p>
    <w:p w:rsidR="006C46DA" w:rsidRPr="00835DC8" w:rsidRDefault="006C46DA" w:rsidP="006C46DA">
      <w:pPr>
        <w:spacing w:after="0"/>
        <w:rPr>
          <w:color w:val="365F91" w:themeColor="accent1" w:themeShade="BF"/>
          <w:sz w:val="24"/>
          <w:szCs w:val="24"/>
        </w:rPr>
      </w:pPr>
      <w:r w:rsidRPr="00835DC8">
        <w:rPr>
          <w:color w:val="365F91" w:themeColor="accent1" w:themeShade="BF"/>
          <w:sz w:val="24"/>
          <w:szCs w:val="24"/>
        </w:rPr>
        <w:t xml:space="preserve">With these four areas of focus in mind, we will prioritise </w:t>
      </w:r>
      <w:r w:rsidR="009E712B" w:rsidRPr="00835DC8">
        <w:rPr>
          <w:color w:val="365F91" w:themeColor="accent1" w:themeShade="BF"/>
          <w:sz w:val="24"/>
          <w:szCs w:val="24"/>
        </w:rPr>
        <w:t>the scheduled</w:t>
      </w:r>
      <w:r w:rsidRPr="00835DC8">
        <w:rPr>
          <w:color w:val="365F91" w:themeColor="accent1" w:themeShade="BF"/>
          <w:sz w:val="24"/>
          <w:szCs w:val="24"/>
        </w:rPr>
        <w:t xml:space="preserve"> end to end review of our recruitment and selection processes, including internal appointments, and the development and promotion of our Antiracis</w:t>
      </w:r>
      <w:r w:rsidR="005E65F6">
        <w:rPr>
          <w:color w:val="365F91" w:themeColor="accent1" w:themeShade="BF"/>
          <w:sz w:val="24"/>
          <w:szCs w:val="24"/>
        </w:rPr>
        <w:t>m</w:t>
      </w:r>
      <w:r w:rsidRPr="00835DC8">
        <w:rPr>
          <w:color w:val="365F91" w:themeColor="accent1" w:themeShade="BF"/>
          <w:sz w:val="24"/>
          <w:szCs w:val="24"/>
        </w:rPr>
        <w:t xml:space="preserve"> Policy, clearly establishing and </w:t>
      </w:r>
      <w:r w:rsidRPr="00835DC8">
        <w:rPr>
          <w:color w:val="365F91" w:themeColor="accent1" w:themeShade="BF"/>
          <w:sz w:val="24"/>
          <w:szCs w:val="24"/>
        </w:rPr>
        <w:lastRenderedPageBreak/>
        <w:t>communicating the Trust's antiracist position. As a Trust, we are committed to building</w:t>
      </w:r>
      <w:r w:rsidR="00863861" w:rsidRPr="00835DC8">
        <w:rPr>
          <w:color w:val="365F91" w:themeColor="accent1" w:themeShade="BF"/>
          <w:sz w:val="24"/>
          <w:szCs w:val="24"/>
        </w:rPr>
        <w:t xml:space="preserve"> a workforce that reflects the diversity of the communities we serve, and supporting and developing staff from ethnic minority groups at every stage of their career</w:t>
      </w:r>
      <w:r w:rsidR="009E712B" w:rsidRPr="00835DC8">
        <w:rPr>
          <w:color w:val="365F91" w:themeColor="accent1" w:themeShade="BF"/>
          <w:sz w:val="24"/>
          <w:szCs w:val="24"/>
        </w:rPr>
        <w:t>s</w:t>
      </w:r>
      <w:r w:rsidR="00863861" w:rsidRPr="00835DC8">
        <w:rPr>
          <w:color w:val="365F91" w:themeColor="accent1" w:themeShade="BF"/>
          <w:sz w:val="24"/>
          <w:szCs w:val="24"/>
        </w:rPr>
        <w:t xml:space="preserve">. </w:t>
      </w:r>
    </w:p>
    <w:p w:rsidR="003B273F" w:rsidRPr="00835DC8" w:rsidRDefault="003B273F" w:rsidP="006C46DA">
      <w:pPr>
        <w:spacing w:after="0"/>
        <w:rPr>
          <w:color w:val="365F91" w:themeColor="accent1" w:themeShade="BF"/>
          <w:sz w:val="24"/>
          <w:szCs w:val="24"/>
        </w:rPr>
      </w:pPr>
    </w:p>
    <w:p w:rsidR="00AD1B33" w:rsidRPr="00E600DE" w:rsidRDefault="003B273F" w:rsidP="00E600DE">
      <w:pPr>
        <w:spacing w:after="0"/>
        <w:rPr>
          <w:color w:val="365F91" w:themeColor="accent1" w:themeShade="BF"/>
          <w:sz w:val="24"/>
          <w:szCs w:val="24"/>
        </w:rPr>
      </w:pPr>
      <w:r w:rsidRPr="00835DC8">
        <w:rPr>
          <w:color w:val="365F91" w:themeColor="accent1" w:themeShade="BF"/>
          <w:sz w:val="24"/>
          <w:szCs w:val="24"/>
        </w:rPr>
        <w:t xml:space="preserve">If you have any further questions, please contact the Equality, Diversity and Inclusion team: </w:t>
      </w:r>
      <w:hyperlink r:id="rId20" w:history="1">
        <w:r w:rsidRPr="00835DC8">
          <w:rPr>
            <w:rStyle w:val="Hyperlink"/>
            <w:sz w:val="24"/>
            <w:szCs w:val="24"/>
          </w:rPr>
          <w:t>equality.diversity@spft.nhs.uk</w:t>
        </w:r>
      </w:hyperlink>
      <w:r w:rsidRPr="00835DC8">
        <w:rPr>
          <w:color w:val="365F91" w:themeColor="accent1" w:themeShade="BF"/>
          <w:sz w:val="24"/>
          <w:szCs w:val="24"/>
        </w:rPr>
        <w:t>.</w:t>
      </w:r>
      <w:r>
        <w:rPr>
          <w:color w:val="365F91" w:themeColor="accent1" w:themeShade="BF"/>
          <w:sz w:val="24"/>
          <w:szCs w:val="24"/>
        </w:rPr>
        <w:t xml:space="preserve"> </w:t>
      </w:r>
    </w:p>
    <w:p w:rsidR="00B262EA" w:rsidRDefault="00B262EA" w:rsidP="00B262EA">
      <w:pPr>
        <w:spacing w:after="0"/>
        <w:rPr>
          <w:color w:val="365F91" w:themeColor="accent1" w:themeShade="BF"/>
          <w:sz w:val="24"/>
          <w:szCs w:val="24"/>
        </w:rPr>
      </w:pPr>
    </w:p>
    <w:p w:rsidR="00B262EA" w:rsidRPr="00B262EA" w:rsidRDefault="00B262EA" w:rsidP="00B262EA">
      <w:pPr>
        <w:spacing w:after="0"/>
        <w:rPr>
          <w:color w:val="365F91" w:themeColor="accent1" w:themeShade="BF"/>
          <w:sz w:val="24"/>
          <w:szCs w:val="24"/>
        </w:rPr>
      </w:pPr>
    </w:p>
    <w:sectPr w:rsidR="00B262EA" w:rsidRPr="00B262EA">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2C14" w:rsidRDefault="00642C14" w:rsidP="006A578D">
      <w:pPr>
        <w:spacing w:after="0" w:line="240" w:lineRule="auto"/>
      </w:pPr>
      <w:r>
        <w:separator/>
      </w:r>
    </w:p>
  </w:endnote>
  <w:endnote w:type="continuationSeparator" w:id="0">
    <w:p w:rsidR="00642C14" w:rsidRDefault="00642C14" w:rsidP="006A57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503585"/>
      <w:docPartObj>
        <w:docPartGallery w:val="Page Numbers (Bottom of Page)"/>
        <w:docPartUnique/>
      </w:docPartObj>
    </w:sdtPr>
    <w:sdtEndPr>
      <w:rPr>
        <w:noProof/>
      </w:rPr>
    </w:sdtEndPr>
    <w:sdtContent>
      <w:p w:rsidR="00642C14" w:rsidRDefault="00642C1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642C14" w:rsidRDefault="00642C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2C14" w:rsidRDefault="00642C14" w:rsidP="006A578D">
      <w:pPr>
        <w:spacing w:after="0" w:line="240" w:lineRule="auto"/>
      </w:pPr>
      <w:r>
        <w:separator/>
      </w:r>
    </w:p>
  </w:footnote>
  <w:footnote w:type="continuationSeparator" w:id="0">
    <w:p w:rsidR="00642C14" w:rsidRDefault="00642C14" w:rsidP="006A57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D94F71"/>
    <w:multiLevelType w:val="hybridMultilevel"/>
    <w:tmpl w:val="D9122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BAC4059"/>
    <w:multiLevelType w:val="hybridMultilevel"/>
    <w:tmpl w:val="B95C9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A2C"/>
    <w:rsid w:val="000B718E"/>
    <w:rsid w:val="000C2F61"/>
    <w:rsid w:val="000E1857"/>
    <w:rsid w:val="000F00AD"/>
    <w:rsid w:val="000F4959"/>
    <w:rsid w:val="001016FA"/>
    <w:rsid w:val="00186EFD"/>
    <w:rsid w:val="001A0505"/>
    <w:rsid w:val="001A115B"/>
    <w:rsid w:val="002010A4"/>
    <w:rsid w:val="00231BA7"/>
    <w:rsid w:val="002405D2"/>
    <w:rsid w:val="00293658"/>
    <w:rsid w:val="00317029"/>
    <w:rsid w:val="00317DAA"/>
    <w:rsid w:val="003B273F"/>
    <w:rsid w:val="003D7E11"/>
    <w:rsid w:val="003E304E"/>
    <w:rsid w:val="00402671"/>
    <w:rsid w:val="004110C3"/>
    <w:rsid w:val="0043741E"/>
    <w:rsid w:val="00440AAE"/>
    <w:rsid w:val="00456994"/>
    <w:rsid w:val="004637A5"/>
    <w:rsid w:val="004813DF"/>
    <w:rsid w:val="004A6D20"/>
    <w:rsid w:val="004C06DE"/>
    <w:rsid w:val="004C5D55"/>
    <w:rsid w:val="004E3A4F"/>
    <w:rsid w:val="004F4598"/>
    <w:rsid w:val="0052072D"/>
    <w:rsid w:val="005A642A"/>
    <w:rsid w:val="005E65F6"/>
    <w:rsid w:val="00602612"/>
    <w:rsid w:val="006166CA"/>
    <w:rsid w:val="00642C14"/>
    <w:rsid w:val="00653DED"/>
    <w:rsid w:val="00660707"/>
    <w:rsid w:val="0067641D"/>
    <w:rsid w:val="00687A2C"/>
    <w:rsid w:val="006963B0"/>
    <w:rsid w:val="006A578D"/>
    <w:rsid w:val="006C46DA"/>
    <w:rsid w:val="006D0197"/>
    <w:rsid w:val="006E15E6"/>
    <w:rsid w:val="006F55A1"/>
    <w:rsid w:val="0070113B"/>
    <w:rsid w:val="0072064C"/>
    <w:rsid w:val="00733A78"/>
    <w:rsid w:val="00733E12"/>
    <w:rsid w:val="007A5AC3"/>
    <w:rsid w:val="007E40D0"/>
    <w:rsid w:val="00802302"/>
    <w:rsid w:val="00820FD8"/>
    <w:rsid w:val="00835DC8"/>
    <w:rsid w:val="008631AF"/>
    <w:rsid w:val="00863861"/>
    <w:rsid w:val="00891CDC"/>
    <w:rsid w:val="008B670D"/>
    <w:rsid w:val="008B7603"/>
    <w:rsid w:val="008E50C1"/>
    <w:rsid w:val="009140FF"/>
    <w:rsid w:val="00916910"/>
    <w:rsid w:val="00925A9F"/>
    <w:rsid w:val="00943657"/>
    <w:rsid w:val="0094652A"/>
    <w:rsid w:val="009469B6"/>
    <w:rsid w:val="00966FB0"/>
    <w:rsid w:val="009A79A3"/>
    <w:rsid w:val="009D578B"/>
    <w:rsid w:val="009E712B"/>
    <w:rsid w:val="009F782A"/>
    <w:rsid w:val="00A054DE"/>
    <w:rsid w:val="00A30435"/>
    <w:rsid w:val="00A40277"/>
    <w:rsid w:val="00A45494"/>
    <w:rsid w:val="00A51292"/>
    <w:rsid w:val="00A531B1"/>
    <w:rsid w:val="00A75978"/>
    <w:rsid w:val="00A85FEF"/>
    <w:rsid w:val="00AD1B33"/>
    <w:rsid w:val="00AF7BE7"/>
    <w:rsid w:val="00B03433"/>
    <w:rsid w:val="00B247AC"/>
    <w:rsid w:val="00B262EA"/>
    <w:rsid w:val="00B303F1"/>
    <w:rsid w:val="00BA2A91"/>
    <w:rsid w:val="00C03C26"/>
    <w:rsid w:val="00C27100"/>
    <w:rsid w:val="00C75A4F"/>
    <w:rsid w:val="00C844D9"/>
    <w:rsid w:val="00CB6C3F"/>
    <w:rsid w:val="00CE432A"/>
    <w:rsid w:val="00D101DA"/>
    <w:rsid w:val="00D371BC"/>
    <w:rsid w:val="00DF6EC9"/>
    <w:rsid w:val="00E230BC"/>
    <w:rsid w:val="00E30B14"/>
    <w:rsid w:val="00E330BC"/>
    <w:rsid w:val="00E511CB"/>
    <w:rsid w:val="00E51826"/>
    <w:rsid w:val="00E600DE"/>
    <w:rsid w:val="00EB0D97"/>
    <w:rsid w:val="00F05D89"/>
    <w:rsid w:val="00F253A5"/>
    <w:rsid w:val="00F859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EE684"/>
  <w15:chartTrackingRefBased/>
  <w15:docId w15:val="{8590EE95-5203-4A7C-ACF7-35F242C8A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00AD"/>
    <w:pPr>
      <w:ind w:left="720"/>
      <w:contextualSpacing/>
    </w:pPr>
  </w:style>
  <w:style w:type="table" w:styleId="TableGrid">
    <w:name w:val="Table Grid"/>
    <w:basedOn w:val="TableNormal"/>
    <w:uiPriority w:val="59"/>
    <w:unhideWhenUsed/>
    <w:rsid w:val="00B303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A57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578D"/>
  </w:style>
  <w:style w:type="paragraph" w:styleId="Footer">
    <w:name w:val="footer"/>
    <w:basedOn w:val="Normal"/>
    <w:link w:val="FooterChar"/>
    <w:uiPriority w:val="99"/>
    <w:unhideWhenUsed/>
    <w:rsid w:val="006A57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578D"/>
  </w:style>
  <w:style w:type="character" w:styleId="Hyperlink">
    <w:name w:val="Hyperlink"/>
    <w:basedOn w:val="DefaultParagraphFont"/>
    <w:uiPriority w:val="99"/>
    <w:unhideWhenUsed/>
    <w:rsid w:val="0052072D"/>
    <w:rPr>
      <w:color w:val="0000FF" w:themeColor="hyperlink"/>
      <w:u w:val="single"/>
    </w:rPr>
  </w:style>
  <w:style w:type="character" w:styleId="UnresolvedMention">
    <w:name w:val="Unresolved Mention"/>
    <w:basedOn w:val="DefaultParagraphFont"/>
    <w:uiPriority w:val="99"/>
    <w:semiHidden/>
    <w:unhideWhenUsed/>
    <w:rsid w:val="0052072D"/>
    <w:rPr>
      <w:color w:val="605E5C"/>
      <w:shd w:val="clear" w:color="auto" w:fill="E1DFDD"/>
    </w:rPr>
  </w:style>
  <w:style w:type="character" w:styleId="FollowedHyperlink">
    <w:name w:val="FollowedHyperlink"/>
    <w:basedOn w:val="DefaultParagraphFont"/>
    <w:uiPriority w:val="99"/>
    <w:semiHidden/>
    <w:unhideWhenUsed/>
    <w:rsid w:val="008B760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yperlink" Target="https://cms.nhsstaffsurveys.com/app/reports/2021/RX2-benchmark-2021.pdf" TargetMode="External"/><Relationship Id="rId18" Type="http://schemas.openxmlformats.org/officeDocument/2006/relationships/chart" Target="charts/chart10.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chart" Target="charts/chart1.xml"/><Relationship Id="rId12" Type="http://schemas.openxmlformats.org/officeDocument/2006/relationships/chart" Target="charts/chart6.xml"/><Relationship Id="rId17" Type="http://schemas.openxmlformats.org/officeDocument/2006/relationships/chart" Target="charts/chart9.xml"/><Relationship Id="rId2" Type="http://schemas.openxmlformats.org/officeDocument/2006/relationships/styles" Target="styles.xml"/><Relationship Id="rId16" Type="http://schemas.openxmlformats.org/officeDocument/2006/relationships/chart" Target="charts/chart8.xml"/><Relationship Id="rId20" Type="http://schemas.openxmlformats.org/officeDocument/2006/relationships/hyperlink" Target="mailto:equality.diversity@spft.nhs.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hyperlink" Target="https://www.sussexstaffinmind.nhs.uk/" TargetMode="External"/><Relationship Id="rId23" Type="http://schemas.openxmlformats.org/officeDocument/2006/relationships/theme" Target="theme/theme1.xml"/><Relationship Id="rId10" Type="http://schemas.openxmlformats.org/officeDocument/2006/relationships/chart" Target="charts/chart4.xml"/><Relationship Id="rId19" Type="http://schemas.openxmlformats.org/officeDocument/2006/relationships/chart" Target="charts/chart11.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7.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Non-clinical</a:t>
            </a:r>
            <a:r>
              <a:rPr lang="en-US" baseline="0"/>
              <a:t> staff</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BME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Sheet1!$B$2:$B$5</c:f>
              <c:numCache>
                <c:formatCode>General</c:formatCode>
                <c:ptCount val="4"/>
                <c:pt idx="0">
                  <c:v>8.7200000000000006</c:v>
                </c:pt>
                <c:pt idx="1">
                  <c:v>8.17</c:v>
                </c:pt>
                <c:pt idx="2">
                  <c:v>7.14</c:v>
                </c:pt>
                <c:pt idx="3">
                  <c:v>5.45</c:v>
                </c:pt>
              </c:numCache>
            </c:numRef>
          </c:val>
          <c:extLst>
            <c:ext xmlns:c16="http://schemas.microsoft.com/office/drawing/2014/chart" uri="{C3380CC4-5D6E-409C-BE32-E72D297353CC}">
              <c16:uniqueId val="{00000000-03D4-428E-8514-AA653401BD82}"/>
            </c:ext>
          </c:extLst>
        </c:ser>
        <c:dLbls>
          <c:showLegendKey val="0"/>
          <c:showVal val="0"/>
          <c:showCatName val="0"/>
          <c:showSerName val="0"/>
          <c:showPercent val="0"/>
          <c:showBubbleSize val="0"/>
        </c:dLbls>
        <c:gapWidth val="219"/>
        <c:overlap val="-27"/>
        <c:axId val="1236476735"/>
        <c:axId val="1240927087"/>
      </c:barChart>
      <c:catAx>
        <c:axId val="1236476735"/>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40927087"/>
        <c:crosses val="autoZero"/>
        <c:auto val="1"/>
        <c:lblAlgn val="ctr"/>
        <c:lblOffset val="100"/>
        <c:noMultiLvlLbl val="0"/>
      </c:catAx>
      <c:valAx>
        <c:axId val="1240927087"/>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crossAx val="123647673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t>Clinical</a:t>
            </a:r>
            <a:r>
              <a:rPr lang="en-US" sz="1200" baseline="0"/>
              <a:t> staff</a:t>
            </a:r>
            <a:endParaRPr lang="en-US" sz="12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BME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Cluster 1</c:v>
                </c:pt>
                <c:pt idx="1">
                  <c:v>Cluster 2</c:v>
                </c:pt>
                <c:pt idx="2">
                  <c:v>Cluster 3</c:v>
                </c:pt>
                <c:pt idx="3">
                  <c:v>Cluster 4</c:v>
                </c:pt>
              </c:strCache>
            </c:strRef>
          </c:cat>
          <c:val>
            <c:numRef>
              <c:f>Sheet1!$B$2:$B$5</c:f>
              <c:numCache>
                <c:formatCode>General</c:formatCode>
                <c:ptCount val="4"/>
                <c:pt idx="0">
                  <c:v>18.190000000000001</c:v>
                </c:pt>
                <c:pt idx="1">
                  <c:v>12.49</c:v>
                </c:pt>
                <c:pt idx="2">
                  <c:v>5.82</c:v>
                </c:pt>
                <c:pt idx="3">
                  <c:v>3.41</c:v>
                </c:pt>
              </c:numCache>
            </c:numRef>
          </c:val>
          <c:extLst>
            <c:ext xmlns:c16="http://schemas.microsoft.com/office/drawing/2014/chart" uri="{C3380CC4-5D6E-409C-BE32-E72D297353CC}">
              <c16:uniqueId val="{00000000-CBE8-4880-A059-223B5DF2A42B}"/>
            </c:ext>
          </c:extLst>
        </c:ser>
        <c:dLbls>
          <c:showLegendKey val="0"/>
          <c:showVal val="0"/>
          <c:showCatName val="0"/>
          <c:showSerName val="0"/>
          <c:showPercent val="0"/>
          <c:showBubbleSize val="0"/>
        </c:dLbls>
        <c:gapWidth val="219"/>
        <c:overlap val="-27"/>
        <c:axId val="1236476735"/>
        <c:axId val="1240927087"/>
      </c:barChart>
      <c:catAx>
        <c:axId val="1236476735"/>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40927087"/>
        <c:crosses val="autoZero"/>
        <c:auto val="1"/>
        <c:lblAlgn val="ctr"/>
        <c:lblOffset val="100"/>
        <c:noMultiLvlLbl val="0"/>
      </c:catAx>
      <c:valAx>
        <c:axId val="1240927087"/>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crossAx val="123647673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t>Medical and Dental staff</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BME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Trainee grades</c:v>
                </c:pt>
                <c:pt idx="1">
                  <c:v>Non-consultant career grades</c:v>
                </c:pt>
                <c:pt idx="2">
                  <c:v>Consultants</c:v>
                </c:pt>
              </c:strCache>
            </c:strRef>
          </c:cat>
          <c:val>
            <c:numRef>
              <c:f>Sheet1!$B$2:$B$4</c:f>
              <c:numCache>
                <c:formatCode>General</c:formatCode>
                <c:ptCount val="3"/>
                <c:pt idx="0">
                  <c:v>27.12</c:v>
                </c:pt>
                <c:pt idx="1">
                  <c:v>48.33</c:v>
                </c:pt>
                <c:pt idx="2">
                  <c:v>35.47</c:v>
                </c:pt>
              </c:numCache>
            </c:numRef>
          </c:val>
          <c:extLst>
            <c:ext xmlns:c16="http://schemas.microsoft.com/office/drawing/2014/chart" uri="{C3380CC4-5D6E-409C-BE32-E72D297353CC}">
              <c16:uniqueId val="{00000000-B98B-4899-AB6D-42EF35419967}"/>
            </c:ext>
          </c:extLst>
        </c:ser>
        <c:dLbls>
          <c:showLegendKey val="0"/>
          <c:showVal val="0"/>
          <c:showCatName val="0"/>
          <c:showSerName val="0"/>
          <c:showPercent val="0"/>
          <c:showBubbleSize val="0"/>
        </c:dLbls>
        <c:gapWidth val="219"/>
        <c:overlap val="-27"/>
        <c:axId val="1034237615"/>
        <c:axId val="1400518255"/>
      </c:barChart>
      <c:catAx>
        <c:axId val="10342376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00518255"/>
        <c:crosses val="autoZero"/>
        <c:auto val="1"/>
        <c:lblAlgn val="ctr"/>
        <c:lblOffset val="100"/>
        <c:noMultiLvlLbl val="0"/>
      </c:catAx>
      <c:valAx>
        <c:axId val="1400518255"/>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03423761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Relative likelihood 2015-2022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Relative likelihood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Sheet1!$A$2:$A$9</c:f>
              <c:numCache>
                <c:formatCode>General</c:formatCode>
                <c:ptCount val="8"/>
                <c:pt idx="0">
                  <c:v>2015</c:v>
                </c:pt>
                <c:pt idx="1">
                  <c:v>2016</c:v>
                </c:pt>
                <c:pt idx="2">
                  <c:v>2017</c:v>
                </c:pt>
                <c:pt idx="3">
                  <c:v>2018</c:v>
                </c:pt>
                <c:pt idx="4">
                  <c:v>2019</c:v>
                </c:pt>
                <c:pt idx="5">
                  <c:v>2020</c:v>
                </c:pt>
                <c:pt idx="6">
                  <c:v>2021</c:v>
                </c:pt>
                <c:pt idx="7">
                  <c:v>2022</c:v>
                </c:pt>
              </c:numCache>
            </c:numRef>
          </c:cat>
          <c:val>
            <c:numRef>
              <c:f>Sheet1!$B$2:$B$9</c:f>
              <c:numCache>
                <c:formatCode>General</c:formatCode>
                <c:ptCount val="8"/>
                <c:pt idx="0">
                  <c:v>2.4</c:v>
                </c:pt>
                <c:pt idx="1">
                  <c:v>1.2</c:v>
                </c:pt>
                <c:pt idx="2">
                  <c:v>1.7</c:v>
                </c:pt>
                <c:pt idx="3">
                  <c:v>1.3</c:v>
                </c:pt>
                <c:pt idx="4">
                  <c:v>1.6</c:v>
                </c:pt>
                <c:pt idx="5">
                  <c:v>1.3</c:v>
                </c:pt>
                <c:pt idx="6">
                  <c:v>1.7</c:v>
                </c:pt>
                <c:pt idx="7">
                  <c:v>3.4</c:v>
                </c:pt>
              </c:numCache>
            </c:numRef>
          </c:val>
          <c:smooth val="0"/>
          <c:extLst>
            <c:ext xmlns:c16="http://schemas.microsoft.com/office/drawing/2014/chart" uri="{C3380CC4-5D6E-409C-BE32-E72D297353CC}">
              <c16:uniqueId val="{00000000-8582-45D1-BD0F-5466DE0C0E3A}"/>
            </c:ext>
          </c:extLst>
        </c:ser>
        <c:dLbls>
          <c:dLblPos val="t"/>
          <c:showLegendKey val="0"/>
          <c:showVal val="1"/>
          <c:showCatName val="0"/>
          <c:showSerName val="0"/>
          <c:showPercent val="0"/>
          <c:showBubbleSize val="0"/>
        </c:dLbls>
        <c:marker val="1"/>
        <c:smooth val="0"/>
        <c:axId val="706331872"/>
        <c:axId val="1151865184"/>
      </c:lineChart>
      <c:catAx>
        <c:axId val="706331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51865184"/>
        <c:crosses val="autoZero"/>
        <c:auto val="1"/>
        <c:lblAlgn val="ctr"/>
        <c:lblOffset val="100"/>
        <c:noMultiLvlLbl val="0"/>
      </c:catAx>
      <c:valAx>
        <c:axId val="1151865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6331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Relative likelihood 2015-2022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Relative likelihood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Sheet1!$A$2:$A$9</c:f>
              <c:numCache>
                <c:formatCode>General</c:formatCode>
                <c:ptCount val="8"/>
                <c:pt idx="0">
                  <c:v>2015</c:v>
                </c:pt>
                <c:pt idx="1">
                  <c:v>2016</c:v>
                </c:pt>
                <c:pt idx="2">
                  <c:v>2017</c:v>
                </c:pt>
                <c:pt idx="3">
                  <c:v>2018</c:v>
                </c:pt>
                <c:pt idx="4">
                  <c:v>2019</c:v>
                </c:pt>
                <c:pt idx="5">
                  <c:v>2020</c:v>
                </c:pt>
                <c:pt idx="6">
                  <c:v>2021</c:v>
                </c:pt>
                <c:pt idx="7">
                  <c:v>2022</c:v>
                </c:pt>
              </c:numCache>
            </c:numRef>
          </c:cat>
          <c:val>
            <c:numRef>
              <c:f>Sheet1!$B$2:$B$9</c:f>
              <c:numCache>
                <c:formatCode>General</c:formatCode>
                <c:ptCount val="8"/>
                <c:pt idx="0">
                  <c:v>1.8</c:v>
                </c:pt>
                <c:pt idx="1">
                  <c:v>1.1000000000000001</c:v>
                </c:pt>
                <c:pt idx="2">
                  <c:v>2.1</c:v>
                </c:pt>
                <c:pt idx="3">
                  <c:v>1.9</c:v>
                </c:pt>
                <c:pt idx="4">
                  <c:v>1.4</c:v>
                </c:pt>
                <c:pt idx="5">
                  <c:v>0.8</c:v>
                </c:pt>
                <c:pt idx="6">
                  <c:v>3.6</c:v>
                </c:pt>
                <c:pt idx="7">
                  <c:v>1.7</c:v>
                </c:pt>
              </c:numCache>
            </c:numRef>
          </c:val>
          <c:smooth val="0"/>
          <c:extLst>
            <c:ext xmlns:c16="http://schemas.microsoft.com/office/drawing/2014/chart" uri="{C3380CC4-5D6E-409C-BE32-E72D297353CC}">
              <c16:uniqueId val="{00000000-426F-44F7-B89D-8C66E9FDE5BA}"/>
            </c:ext>
          </c:extLst>
        </c:ser>
        <c:dLbls>
          <c:dLblPos val="t"/>
          <c:showLegendKey val="0"/>
          <c:showVal val="1"/>
          <c:showCatName val="0"/>
          <c:showSerName val="0"/>
          <c:showPercent val="0"/>
          <c:showBubbleSize val="0"/>
        </c:dLbls>
        <c:marker val="1"/>
        <c:smooth val="0"/>
        <c:axId val="1292982864"/>
        <c:axId val="1143276160"/>
      </c:lineChart>
      <c:catAx>
        <c:axId val="1292982864"/>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43276160"/>
        <c:crosses val="autoZero"/>
        <c:auto val="1"/>
        <c:lblAlgn val="ctr"/>
        <c:lblOffset val="100"/>
        <c:noMultiLvlLbl val="0"/>
      </c:catAx>
      <c:valAx>
        <c:axId val="1143276160"/>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2929828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Relative likelihood 2015-2022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Relative likelihood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Sheet1!$A$2:$A$9</c:f>
              <c:numCache>
                <c:formatCode>General</c:formatCode>
                <c:ptCount val="8"/>
                <c:pt idx="0">
                  <c:v>2015</c:v>
                </c:pt>
                <c:pt idx="1">
                  <c:v>2016</c:v>
                </c:pt>
                <c:pt idx="2">
                  <c:v>2017</c:v>
                </c:pt>
                <c:pt idx="3">
                  <c:v>2018</c:v>
                </c:pt>
                <c:pt idx="4">
                  <c:v>2019</c:v>
                </c:pt>
                <c:pt idx="5">
                  <c:v>2020</c:v>
                </c:pt>
                <c:pt idx="6">
                  <c:v>2021</c:v>
                </c:pt>
                <c:pt idx="7">
                  <c:v>2022</c:v>
                </c:pt>
              </c:numCache>
            </c:numRef>
          </c:cat>
          <c:val>
            <c:numRef>
              <c:f>Sheet1!$B$2:$B$9</c:f>
              <c:numCache>
                <c:formatCode>General</c:formatCode>
                <c:ptCount val="8"/>
                <c:pt idx="0">
                  <c:v>1.4</c:v>
                </c:pt>
                <c:pt idx="1">
                  <c:v>1.2</c:v>
                </c:pt>
                <c:pt idx="2">
                  <c:v>1.1000000000000001</c:v>
                </c:pt>
                <c:pt idx="3">
                  <c:v>0.5</c:v>
                </c:pt>
                <c:pt idx="4">
                  <c:v>1.6</c:v>
                </c:pt>
                <c:pt idx="5">
                  <c:v>1.1000000000000001</c:v>
                </c:pt>
                <c:pt idx="6">
                  <c:v>1.5</c:v>
                </c:pt>
                <c:pt idx="7">
                  <c:v>1.6</c:v>
                </c:pt>
              </c:numCache>
            </c:numRef>
          </c:val>
          <c:smooth val="0"/>
          <c:extLst>
            <c:ext xmlns:c16="http://schemas.microsoft.com/office/drawing/2014/chart" uri="{C3380CC4-5D6E-409C-BE32-E72D297353CC}">
              <c16:uniqueId val="{00000000-F9B8-4AFC-B6B7-F8C92C931408}"/>
            </c:ext>
          </c:extLst>
        </c:ser>
        <c:dLbls>
          <c:dLblPos val="t"/>
          <c:showLegendKey val="0"/>
          <c:showVal val="1"/>
          <c:showCatName val="0"/>
          <c:showSerName val="0"/>
          <c:showPercent val="0"/>
          <c:showBubbleSize val="0"/>
        </c:dLbls>
        <c:marker val="1"/>
        <c:smooth val="0"/>
        <c:axId val="1142606912"/>
        <c:axId val="1294410528"/>
      </c:lineChart>
      <c:catAx>
        <c:axId val="1142606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94410528"/>
        <c:crosses val="autoZero"/>
        <c:auto val="1"/>
        <c:lblAlgn val="ctr"/>
        <c:lblOffset val="100"/>
        <c:noMultiLvlLbl val="0"/>
      </c:catAx>
      <c:valAx>
        <c:axId val="129441052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1426069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BME</a:t>
            </a:r>
            <a:r>
              <a:rPr lang="en-US" baseline="0"/>
              <a:t> </a:t>
            </a:r>
            <a:r>
              <a:rPr lang="en-US"/>
              <a:t>% 2017-2021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3"/>
              <c:layout>
                <c:manualLayout>
                  <c:x val="-3.5821850393700873E-2"/>
                  <c:y val="5.360111236095480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58D-4B27-AEA1-37D8A7FFD972}"/>
                </c:ext>
              </c:extLst>
            </c:dLbl>
            <c:dLbl>
              <c:idx val="4"/>
              <c:layout>
                <c:manualLayout>
                  <c:x val="-4.0451480023330585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58D-4B27-AEA1-37D8A7FFD97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Sheet1!$B$2:$B$6</c:f>
              <c:numCache>
                <c:formatCode>General</c:formatCode>
                <c:ptCount val="5"/>
                <c:pt idx="0">
                  <c:v>33.1</c:v>
                </c:pt>
                <c:pt idx="1">
                  <c:v>32.799999999999997</c:v>
                </c:pt>
                <c:pt idx="2">
                  <c:v>35.5</c:v>
                </c:pt>
                <c:pt idx="3">
                  <c:v>32.1</c:v>
                </c:pt>
                <c:pt idx="4">
                  <c:v>31.8</c:v>
                </c:pt>
              </c:numCache>
            </c:numRef>
          </c:val>
          <c:smooth val="0"/>
          <c:extLst>
            <c:ext xmlns:c16="http://schemas.microsoft.com/office/drawing/2014/chart" uri="{C3380CC4-5D6E-409C-BE32-E72D297353CC}">
              <c16:uniqueId val="{00000000-858D-4B27-AEA1-37D8A7FFD972}"/>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3"/>
              <c:layout>
                <c:manualLayout>
                  <c:x val="-3.8136665208515684E-2"/>
                  <c:y val="-6.941476065491816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58D-4B27-AEA1-37D8A7FFD97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Sheet1!$C$2:$C$6</c:f>
              <c:numCache>
                <c:formatCode>General</c:formatCode>
                <c:ptCount val="5"/>
                <c:pt idx="0">
                  <c:v>39.1</c:v>
                </c:pt>
                <c:pt idx="1">
                  <c:v>43.8</c:v>
                </c:pt>
                <c:pt idx="2">
                  <c:v>42.4</c:v>
                </c:pt>
                <c:pt idx="3">
                  <c:v>34.5</c:v>
                </c:pt>
                <c:pt idx="4">
                  <c:v>34.6</c:v>
                </c:pt>
              </c:numCache>
            </c:numRef>
          </c:val>
          <c:smooth val="0"/>
          <c:extLst>
            <c:ext xmlns:c16="http://schemas.microsoft.com/office/drawing/2014/chart" uri="{C3380CC4-5D6E-409C-BE32-E72D297353CC}">
              <c16:uniqueId val="{00000003-858D-4B27-AEA1-37D8A7FFD972}"/>
            </c:ext>
          </c:extLst>
        </c:ser>
        <c:dLbls>
          <c:dLblPos val="t"/>
          <c:showLegendKey val="0"/>
          <c:showVal val="1"/>
          <c:showCatName val="0"/>
          <c:showSerName val="0"/>
          <c:showPercent val="0"/>
          <c:showBubbleSize val="0"/>
        </c:dLbls>
        <c:marker val="1"/>
        <c:smooth val="0"/>
        <c:axId val="1149727952"/>
        <c:axId val="876512608"/>
      </c:lineChart>
      <c:catAx>
        <c:axId val="11497279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76512608"/>
        <c:crosses val="autoZero"/>
        <c:auto val="1"/>
        <c:lblAlgn val="ctr"/>
        <c:lblOffset val="100"/>
        <c:noMultiLvlLbl val="0"/>
      </c:catAx>
      <c:valAx>
        <c:axId val="87651260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149727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BME % 2017-2021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2.6562591134441527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D69-4AE8-875C-C14B01060DDB}"/>
                </c:ext>
              </c:extLst>
            </c:dLbl>
            <c:dLbl>
              <c:idx val="1"/>
              <c:layout>
                <c:manualLayout>
                  <c:x val="-3.5821850393700831E-2"/>
                  <c:y val="8.13788901387326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D69-4AE8-875C-C14B01060DDB}"/>
                </c:ext>
              </c:extLst>
            </c:dLbl>
            <c:dLbl>
              <c:idx val="2"/>
              <c:layout>
                <c:manualLayout>
                  <c:x val="-3.582185039370079E-2"/>
                  <c:y val="4.56646044244469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D69-4AE8-875C-C14B01060DD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Sheet1!$B$2:$B$6</c:f>
              <c:numCache>
                <c:formatCode>General</c:formatCode>
                <c:ptCount val="5"/>
                <c:pt idx="0">
                  <c:v>24.3</c:v>
                </c:pt>
                <c:pt idx="1">
                  <c:v>27.1</c:v>
                </c:pt>
                <c:pt idx="2">
                  <c:v>24.9</c:v>
                </c:pt>
                <c:pt idx="3">
                  <c:v>25</c:v>
                </c:pt>
                <c:pt idx="4">
                  <c:v>22.9</c:v>
                </c:pt>
              </c:numCache>
            </c:numRef>
          </c:val>
          <c:smooth val="0"/>
          <c:extLst>
            <c:ext xmlns:c16="http://schemas.microsoft.com/office/drawing/2014/chart" uri="{C3380CC4-5D6E-409C-BE32-E72D297353CC}">
              <c16:uniqueId val="{00000000-3D69-4AE8-875C-C14B01060DDB}"/>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2"/>
              <c:layout>
                <c:manualLayout>
                  <c:x val="-4.9710739282589678E-2"/>
                  <c:y val="-9.322428446444194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D69-4AE8-875C-C14B01060DDB}"/>
                </c:ext>
              </c:extLst>
            </c:dLbl>
            <c:dLbl>
              <c:idx val="3"/>
              <c:layout>
                <c:manualLayout>
                  <c:x val="-3.5821850393700873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D69-4AE8-875C-C14B01060DDB}"/>
                </c:ext>
              </c:extLst>
            </c:dLbl>
            <c:dLbl>
              <c:idx val="4"/>
              <c:layout>
                <c:manualLayout>
                  <c:x val="-2.3287037037037037E-2"/>
                  <c:y val="5.360111236095480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D69-4AE8-875C-C14B01060DD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Sheet1!$C$2:$C$6</c:f>
              <c:numCache>
                <c:formatCode>General</c:formatCode>
                <c:ptCount val="5"/>
                <c:pt idx="0">
                  <c:v>27.8</c:v>
                </c:pt>
                <c:pt idx="1">
                  <c:v>29.4</c:v>
                </c:pt>
                <c:pt idx="2">
                  <c:v>25.4</c:v>
                </c:pt>
                <c:pt idx="3">
                  <c:v>24.4</c:v>
                </c:pt>
                <c:pt idx="4">
                  <c:v>21</c:v>
                </c:pt>
              </c:numCache>
            </c:numRef>
          </c:val>
          <c:smooth val="0"/>
          <c:extLst>
            <c:ext xmlns:c16="http://schemas.microsoft.com/office/drawing/2014/chart" uri="{C3380CC4-5D6E-409C-BE32-E72D297353CC}">
              <c16:uniqueId val="{00000001-3D69-4AE8-875C-C14B01060DDB}"/>
            </c:ext>
          </c:extLst>
        </c:ser>
        <c:dLbls>
          <c:dLblPos val="t"/>
          <c:showLegendKey val="0"/>
          <c:showVal val="1"/>
          <c:showCatName val="0"/>
          <c:showSerName val="0"/>
          <c:showPercent val="0"/>
          <c:showBubbleSize val="0"/>
        </c:dLbls>
        <c:marker val="1"/>
        <c:smooth val="0"/>
        <c:axId val="1292984064"/>
        <c:axId val="1287738016"/>
      </c:lineChart>
      <c:catAx>
        <c:axId val="1292984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87738016"/>
        <c:crosses val="autoZero"/>
        <c:auto val="1"/>
        <c:lblAlgn val="ctr"/>
        <c:lblOffset val="100"/>
        <c:noMultiLvlLbl val="0"/>
      </c:catAx>
      <c:valAx>
        <c:axId val="1287738016"/>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292984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BME % 2017-2021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3507035578885971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50A-46B4-9BA9-C4B9A8A1FE69}"/>
                </c:ext>
              </c:extLst>
            </c:dLbl>
            <c:dLbl>
              <c:idx val="1"/>
              <c:layout>
                <c:manualLayout>
                  <c:x val="-3.8136665208515642E-2"/>
                  <c:y val="5.756936632920885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50A-46B4-9BA9-C4B9A8A1FE69}"/>
                </c:ext>
              </c:extLst>
            </c:dLbl>
            <c:dLbl>
              <c:idx val="2"/>
              <c:layout>
                <c:manualLayout>
                  <c:x val="-4.276629483814523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50A-46B4-9BA9-C4B9A8A1FE69}"/>
                </c:ext>
              </c:extLst>
            </c:dLbl>
            <c:dLbl>
              <c:idx val="3"/>
              <c:layout>
                <c:manualLayout>
                  <c:x val="-4.739592446777495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50A-46B4-9BA9-C4B9A8A1FE6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Sheet1!$B$2:$B$6</c:f>
              <c:numCache>
                <c:formatCode>General</c:formatCode>
                <c:ptCount val="5"/>
                <c:pt idx="0">
                  <c:v>49.5</c:v>
                </c:pt>
                <c:pt idx="1">
                  <c:v>46.3</c:v>
                </c:pt>
                <c:pt idx="2">
                  <c:v>45.8</c:v>
                </c:pt>
                <c:pt idx="3">
                  <c:v>45.5</c:v>
                </c:pt>
                <c:pt idx="4">
                  <c:v>46.8</c:v>
                </c:pt>
              </c:numCache>
            </c:numRef>
          </c:val>
          <c:smooth val="0"/>
          <c:extLst>
            <c:ext xmlns:c16="http://schemas.microsoft.com/office/drawing/2014/chart" uri="{C3380CC4-5D6E-409C-BE32-E72D297353CC}">
              <c16:uniqueId val="{00000000-250A-46B4-9BA9-C4B9A8A1FE69}"/>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2"/>
              <c:layout>
                <c:manualLayout>
                  <c:x val="-4.276629483814523E-2"/>
                  <c:y val="-6.14782527184101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50A-46B4-9BA9-C4B9A8A1FE69}"/>
                </c:ext>
              </c:extLst>
            </c:dLbl>
            <c:dLbl>
              <c:idx val="3"/>
              <c:layout>
                <c:manualLayout>
                  <c:x val="-4.739592446777495E-2"/>
                  <c:y val="-6.544650668666417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50A-46B4-9BA9-C4B9A8A1FE69}"/>
                </c:ext>
              </c:extLst>
            </c:dLbl>
            <c:dLbl>
              <c:idx val="4"/>
              <c:layout>
                <c:manualLayout>
                  <c:x val="-3.5821850393700956E-2"/>
                  <c:y val="5.36011123609548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250A-46B4-9BA9-C4B9A8A1FE6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Sheet1!$C$2:$C$6</c:f>
              <c:numCache>
                <c:formatCode>General</c:formatCode>
                <c:ptCount val="5"/>
                <c:pt idx="0">
                  <c:v>54</c:v>
                </c:pt>
                <c:pt idx="1">
                  <c:v>50.8</c:v>
                </c:pt>
                <c:pt idx="2">
                  <c:v>47.7</c:v>
                </c:pt>
                <c:pt idx="3">
                  <c:v>46.7</c:v>
                </c:pt>
                <c:pt idx="4">
                  <c:v>39.4</c:v>
                </c:pt>
              </c:numCache>
            </c:numRef>
          </c:val>
          <c:smooth val="0"/>
          <c:extLst>
            <c:ext xmlns:c16="http://schemas.microsoft.com/office/drawing/2014/chart" uri="{C3380CC4-5D6E-409C-BE32-E72D297353CC}">
              <c16:uniqueId val="{00000001-250A-46B4-9BA9-C4B9A8A1FE69}"/>
            </c:ext>
          </c:extLst>
        </c:ser>
        <c:dLbls>
          <c:dLblPos val="t"/>
          <c:showLegendKey val="0"/>
          <c:showVal val="1"/>
          <c:showCatName val="0"/>
          <c:showSerName val="0"/>
          <c:showPercent val="0"/>
          <c:showBubbleSize val="0"/>
        </c:dLbls>
        <c:marker val="1"/>
        <c:smooth val="0"/>
        <c:axId val="1297099904"/>
        <c:axId val="1294416768"/>
      </c:lineChart>
      <c:catAx>
        <c:axId val="1297099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94416768"/>
        <c:crosses val="autoZero"/>
        <c:auto val="1"/>
        <c:lblAlgn val="ctr"/>
        <c:lblOffset val="100"/>
        <c:noMultiLvlLbl val="0"/>
      </c:catAx>
      <c:valAx>
        <c:axId val="129441676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2970999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BME % 2017-2021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Sheet1!$B$1</c:f>
              <c:strCache>
                <c:ptCount val="1"/>
                <c:pt idx="0">
                  <c:v>Benchmark group average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0231481481481481E-2"/>
                  <c:y val="7.344238220222472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E97-4C44-9FE4-B320A71F0158}"/>
                </c:ext>
              </c:extLst>
            </c:dLbl>
            <c:dLbl>
              <c:idx val="1"/>
              <c:layout>
                <c:manualLayout>
                  <c:x val="-3.3507035578885971E-2"/>
                  <c:y val="5.360111236095480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E97-4C44-9FE4-B320A71F0158}"/>
                </c:ext>
              </c:extLst>
            </c:dLbl>
            <c:dLbl>
              <c:idx val="2"/>
              <c:layout>
                <c:manualLayout>
                  <c:x val="-2.1932961504811898E-2"/>
                  <c:y val="6.153762029746281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E97-4C44-9FE4-B320A71F0158}"/>
                </c:ext>
              </c:extLst>
            </c:dLbl>
            <c:dLbl>
              <c:idx val="4"/>
              <c:layout>
                <c:manualLayout>
                  <c:x val="-3.5821850393700956E-2"/>
                  <c:y val="5.360111236095480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E97-4C44-9FE4-B320A71F015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Sheet1!$B$2:$B$6</c:f>
              <c:numCache>
                <c:formatCode>General</c:formatCode>
                <c:ptCount val="5"/>
                <c:pt idx="0">
                  <c:v>13</c:v>
                </c:pt>
                <c:pt idx="1">
                  <c:v>13.6</c:v>
                </c:pt>
                <c:pt idx="2">
                  <c:v>13.6</c:v>
                </c:pt>
                <c:pt idx="3">
                  <c:v>15.1</c:v>
                </c:pt>
                <c:pt idx="4">
                  <c:v>14.4</c:v>
                </c:pt>
              </c:numCache>
            </c:numRef>
          </c:val>
          <c:smooth val="0"/>
          <c:extLst>
            <c:ext xmlns:c16="http://schemas.microsoft.com/office/drawing/2014/chart" uri="{C3380CC4-5D6E-409C-BE32-E72D297353CC}">
              <c16:uniqueId val="{00000000-2E97-4C44-9FE4-B320A71F0158}"/>
            </c:ext>
          </c:extLst>
        </c:ser>
        <c:ser>
          <c:idx val="1"/>
          <c:order val="1"/>
          <c:tx>
            <c:strRef>
              <c:f>Sheet1!$C$1</c:f>
              <c:strCache>
                <c:ptCount val="1"/>
                <c:pt idx="0">
                  <c:v>SPFT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2"/>
              <c:layout>
                <c:manualLayout>
                  <c:x val="3.5300014581510645E-3"/>
                  <c:y val="-4.957349081364832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E97-4C44-9FE4-B320A71F0158}"/>
                </c:ext>
              </c:extLst>
            </c:dLbl>
            <c:dLbl>
              <c:idx val="3"/>
              <c:layout>
                <c:manualLayout>
                  <c:x val="-3.3507035578886145E-2"/>
                  <c:y val="4.963285839270091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E97-4C44-9FE4-B320A71F015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2017</c:v>
                </c:pt>
                <c:pt idx="1">
                  <c:v>2018</c:v>
                </c:pt>
                <c:pt idx="2">
                  <c:v>2019</c:v>
                </c:pt>
                <c:pt idx="3">
                  <c:v>2020</c:v>
                </c:pt>
                <c:pt idx="4">
                  <c:v>2021</c:v>
                </c:pt>
              </c:numCache>
            </c:numRef>
          </c:cat>
          <c:val>
            <c:numRef>
              <c:f>Sheet1!$C$2:$C$6</c:f>
              <c:numCache>
                <c:formatCode>General</c:formatCode>
                <c:ptCount val="5"/>
                <c:pt idx="0">
                  <c:v>14</c:v>
                </c:pt>
                <c:pt idx="1">
                  <c:v>15</c:v>
                </c:pt>
                <c:pt idx="2">
                  <c:v>14.1</c:v>
                </c:pt>
                <c:pt idx="3">
                  <c:v>14.6</c:v>
                </c:pt>
                <c:pt idx="4">
                  <c:v>16.100000000000001</c:v>
                </c:pt>
              </c:numCache>
            </c:numRef>
          </c:val>
          <c:smooth val="0"/>
          <c:extLst>
            <c:ext xmlns:c16="http://schemas.microsoft.com/office/drawing/2014/chart" uri="{C3380CC4-5D6E-409C-BE32-E72D297353CC}">
              <c16:uniqueId val="{00000001-2E97-4C44-9FE4-B320A71F0158}"/>
            </c:ext>
          </c:extLst>
        </c:ser>
        <c:dLbls>
          <c:dLblPos val="t"/>
          <c:showLegendKey val="0"/>
          <c:showVal val="1"/>
          <c:showCatName val="0"/>
          <c:showSerName val="0"/>
          <c:showPercent val="0"/>
          <c:showBubbleSize val="0"/>
        </c:dLbls>
        <c:marker val="1"/>
        <c:smooth val="0"/>
        <c:axId val="1293574048"/>
        <c:axId val="1137172144"/>
      </c:lineChart>
      <c:catAx>
        <c:axId val="1293574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37172144"/>
        <c:crosses val="autoZero"/>
        <c:auto val="1"/>
        <c:lblAlgn val="ctr"/>
        <c:lblOffset val="100"/>
        <c:noMultiLvlLbl val="0"/>
      </c:catAx>
      <c:valAx>
        <c:axId val="1137172144"/>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293574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Percentage</a:t>
            </a:r>
            <a:r>
              <a:rPr lang="en-GB" baseline="0"/>
              <a:t> breakdowns</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Sheet1!$B$1</c:f>
              <c:strCache>
                <c:ptCount val="1"/>
                <c:pt idx="0">
                  <c:v>White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Sheet1!$B$2:$B$5</c:f>
              <c:numCache>
                <c:formatCode>General</c:formatCode>
                <c:ptCount val="4"/>
                <c:pt idx="0">
                  <c:v>85.77</c:v>
                </c:pt>
                <c:pt idx="1">
                  <c:v>76.47</c:v>
                </c:pt>
                <c:pt idx="2">
                  <c:v>69.23</c:v>
                </c:pt>
                <c:pt idx="3">
                  <c:v>88.89</c:v>
                </c:pt>
              </c:numCache>
            </c:numRef>
          </c:val>
          <c:extLst>
            <c:ext xmlns:c16="http://schemas.microsoft.com/office/drawing/2014/chart" uri="{C3380CC4-5D6E-409C-BE32-E72D297353CC}">
              <c16:uniqueId val="{00000000-A247-4083-B4A9-11C0371A7893}"/>
            </c:ext>
          </c:extLst>
        </c:ser>
        <c:ser>
          <c:idx val="1"/>
          <c:order val="1"/>
          <c:tx>
            <c:strRef>
              <c:f>Sheet1!$C$1</c:f>
              <c:strCache>
                <c:ptCount val="1"/>
                <c:pt idx="0">
                  <c:v>BME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Sheet1!$C$2:$C$5</c:f>
              <c:numCache>
                <c:formatCode>General</c:formatCode>
                <c:ptCount val="4"/>
                <c:pt idx="0">
                  <c:v>12.96</c:v>
                </c:pt>
                <c:pt idx="1">
                  <c:v>17.649999999999999</c:v>
                </c:pt>
                <c:pt idx="2">
                  <c:v>23.08</c:v>
                </c:pt>
                <c:pt idx="3">
                  <c:v>11.11</c:v>
                </c:pt>
              </c:numCache>
            </c:numRef>
          </c:val>
          <c:extLst>
            <c:ext xmlns:c16="http://schemas.microsoft.com/office/drawing/2014/chart" uri="{C3380CC4-5D6E-409C-BE32-E72D297353CC}">
              <c16:uniqueId val="{00000001-A247-4083-B4A9-11C0371A7893}"/>
            </c:ext>
          </c:extLst>
        </c:ser>
        <c:ser>
          <c:idx val="2"/>
          <c:order val="2"/>
          <c:tx>
            <c:strRef>
              <c:f>Sheet1!$D$1</c:f>
              <c:strCache>
                <c:ptCount val="1"/>
                <c:pt idx="0">
                  <c:v>Unknown</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Workforce</c:v>
                </c:pt>
                <c:pt idx="1">
                  <c:v>Board</c:v>
                </c:pt>
                <c:pt idx="2">
                  <c:v>Voting membership</c:v>
                </c:pt>
                <c:pt idx="3">
                  <c:v>Executive membership</c:v>
                </c:pt>
              </c:strCache>
            </c:strRef>
          </c:cat>
          <c:val>
            <c:numRef>
              <c:f>Sheet1!$D$2:$D$5</c:f>
              <c:numCache>
                <c:formatCode>General</c:formatCode>
                <c:ptCount val="4"/>
                <c:pt idx="0">
                  <c:v>1.27</c:v>
                </c:pt>
                <c:pt idx="1">
                  <c:v>5.88</c:v>
                </c:pt>
                <c:pt idx="2">
                  <c:v>7.69</c:v>
                </c:pt>
                <c:pt idx="3">
                  <c:v>0</c:v>
                </c:pt>
              </c:numCache>
            </c:numRef>
          </c:val>
          <c:extLst>
            <c:ext xmlns:c16="http://schemas.microsoft.com/office/drawing/2014/chart" uri="{C3380CC4-5D6E-409C-BE32-E72D297353CC}">
              <c16:uniqueId val="{00000002-A247-4083-B4A9-11C0371A7893}"/>
            </c:ext>
          </c:extLst>
        </c:ser>
        <c:dLbls>
          <c:dLblPos val="ctr"/>
          <c:showLegendKey val="0"/>
          <c:showVal val="1"/>
          <c:showCatName val="0"/>
          <c:showSerName val="0"/>
          <c:showPercent val="0"/>
          <c:showBubbleSize val="0"/>
        </c:dLbls>
        <c:gapWidth val="150"/>
        <c:overlap val="100"/>
        <c:axId val="889648272"/>
        <c:axId val="891995904"/>
      </c:barChart>
      <c:catAx>
        <c:axId val="889648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91995904"/>
        <c:crosses val="autoZero"/>
        <c:auto val="1"/>
        <c:lblAlgn val="ctr"/>
        <c:lblOffset val="100"/>
        <c:noMultiLvlLbl val="0"/>
      </c:catAx>
      <c:valAx>
        <c:axId val="891995904"/>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889648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1208</TotalTime>
  <Pages>16</Pages>
  <Words>2847</Words>
  <Characters>16233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MENDES DA COSTA, Emma (SPFT)</dc:creator>
  <cp:keywords/>
  <dc:description/>
  <cp:lastModifiedBy>MENDES DA COSTA, Emma (SPFT)</cp:lastModifiedBy>
  <cp:revision>44</cp:revision>
  <dcterms:created xsi:type="dcterms:W3CDTF">2022-08-31T10:44:00Z</dcterms:created>
  <dcterms:modified xsi:type="dcterms:W3CDTF">2022-10-12T16:25:00Z</dcterms:modified>
</cp:coreProperties>
</file>