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110C3" w:rsidRPr="0008214B" w:rsidRDefault="00687A2C" w:rsidP="00687A2C">
      <w:pPr>
        <w:spacing w:after="0"/>
        <w:rPr>
          <w:color w:val="365F91" w:themeColor="accent1" w:themeShade="BF"/>
          <w:sz w:val="36"/>
          <w:szCs w:val="36"/>
        </w:rPr>
      </w:pPr>
      <w:r w:rsidRPr="0008214B">
        <w:rPr>
          <w:color w:val="365F91" w:themeColor="accent1" w:themeShade="BF"/>
          <w:sz w:val="36"/>
          <w:szCs w:val="36"/>
        </w:rPr>
        <w:t>Sussex Partnership NHS Foundation Trust</w:t>
      </w:r>
    </w:p>
    <w:p w:rsidR="00687A2C" w:rsidRPr="0008214B" w:rsidRDefault="00687A2C" w:rsidP="00687A2C">
      <w:pPr>
        <w:spacing w:after="0"/>
        <w:rPr>
          <w:color w:val="365F91" w:themeColor="accent1" w:themeShade="BF"/>
          <w:sz w:val="36"/>
          <w:szCs w:val="36"/>
        </w:rPr>
      </w:pPr>
      <w:r w:rsidRPr="0008214B">
        <w:rPr>
          <w:color w:val="365F91" w:themeColor="accent1" w:themeShade="BF"/>
          <w:sz w:val="36"/>
          <w:szCs w:val="36"/>
        </w:rPr>
        <w:t xml:space="preserve">Workforce </w:t>
      </w:r>
      <w:r w:rsidR="004611DA" w:rsidRPr="0008214B">
        <w:rPr>
          <w:color w:val="365F91" w:themeColor="accent1" w:themeShade="BF"/>
          <w:sz w:val="36"/>
          <w:szCs w:val="36"/>
        </w:rPr>
        <w:t>Disability</w:t>
      </w:r>
      <w:r w:rsidRPr="0008214B">
        <w:rPr>
          <w:color w:val="365F91" w:themeColor="accent1" w:themeShade="BF"/>
          <w:sz w:val="36"/>
          <w:szCs w:val="36"/>
        </w:rPr>
        <w:t xml:space="preserve"> Equality Standard Report 2022</w:t>
      </w:r>
    </w:p>
    <w:p w:rsidR="00687A2C" w:rsidRPr="0008214B" w:rsidRDefault="00687A2C" w:rsidP="00687A2C">
      <w:pPr>
        <w:spacing w:after="0"/>
        <w:rPr>
          <w:color w:val="365F91" w:themeColor="accent1" w:themeShade="BF"/>
          <w:sz w:val="28"/>
          <w:szCs w:val="28"/>
        </w:rPr>
      </w:pPr>
    </w:p>
    <w:p w:rsidR="00A30435" w:rsidRPr="0008214B" w:rsidRDefault="00A30435" w:rsidP="00687A2C">
      <w:pPr>
        <w:spacing w:after="0"/>
        <w:rPr>
          <w:color w:val="365F91" w:themeColor="accent1" w:themeShade="BF"/>
          <w:sz w:val="36"/>
          <w:szCs w:val="36"/>
        </w:rPr>
      </w:pPr>
      <w:r w:rsidRPr="0008214B">
        <w:rPr>
          <w:color w:val="365F91" w:themeColor="accent1" w:themeShade="BF"/>
          <w:sz w:val="36"/>
          <w:szCs w:val="36"/>
        </w:rPr>
        <w:t>Introduction</w:t>
      </w:r>
    </w:p>
    <w:p w:rsidR="00E1550E" w:rsidRPr="0008214B" w:rsidRDefault="00587B29" w:rsidP="00E600DE">
      <w:pPr>
        <w:spacing w:after="0"/>
        <w:rPr>
          <w:color w:val="365F91" w:themeColor="accent1" w:themeShade="BF"/>
          <w:sz w:val="24"/>
          <w:szCs w:val="24"/>
        </w:rPr>
      </w:pPr>
      <w:r w:rsidRPr="0008214B">
        <w:rPr>
          <w:color w:val="365F91" w:themeColor="accent1" w:themeShade="BF"/>
          <w:sz w:val="24"/>
          <w:szCs w:val="24"/>
        </w:rPr>
        <w:t xml:space="preserve">The Workforce Disability Equality Standard (WDES) </w:t>
      </w:r>
      <w:r w:rsidR="00E1550E" w:rsidRPr="0008214B">
        <w:rPr>
          <w:color w:val="365F91" w:themeColor="accent1" w:themeShade="BF"/>
          <w:sz w:val="24"/>
          <w:szCs w:val="24"/>
        </w:rPr>
        <w:t>is an evidence-based standard of ten metrics</w:t>
      </w:r>
      <w:r w:rsidR="00B76413" w:rsidRPr="0008214B">
        <w:rPr>
          <w:color w:val="365F91" w:themeColor="accent1" w:themeShade="BF"/>
          <w:sz w:val="24"/>
          <w:szCs w:val="24"/>
        </w:rPr>
        <w:t>, designed to help</w:t>
      </w:r>
      <w:r w:rsidR="00E1550E" w:rsidRPr="0008214B">
        <w:rPr>
          <w:color w:val="365F91" w:themeColor="accent1" w:themeShade="BF"/>
          <w:sz w:val="24"/>
          <w:szCs w:val="24"/>
        </w:rPr>
        <w:t xml:space="preserve"> NHS organisation</w:t>
      </w:r>
      <w:r w:rsidR="00B76413" w:rsidRPr="0008214B">
        <w:rPr>
          <w:color w:val="365F91" w:themeColor="accent1" w:themeShade="BF"/>
          <w:sz w:val="24"/>
          <w:szCs w:val="24"/>
        </w:rPr>
        <w:t>s</w:t>
      </w:r>
      <w:r w:rsidR="00E1550E" w:rsidRPr="0008214B">
        <w:rPr>
          <w:color w:val="365F91" w:themeColor="accent1" w:themeShade="BF"/>
          <w:sz w:val="24"/>
          <w:szCs w:val="24"/>
        </w:rPr>
        <w:t xml:space="preserve"> compare the workplace and career experiences of </w:t>
      </w:r>
      <w:r w:rsidR="00811E58" w:rsidRPr="0008214B">
        <w:rPr>
          <w:color w:val="365F91" w:themeColor="accent1" w:themeShade="BF"/>
          <w:sz w:val="24"/>
          <w:szCs w:val="24"/>
        </w:rPr>
        <w:t xml:space="preserve">their </w:t>
      </w:r>
      <w:r w:rsidR="00E1550E" w:rsidRPr="0008214B">
        <w:rPr>
          <w:color w:val="365F91" w:themeColor="accent1" w:themeShade="BF"/>
          <w:sz w:val="24"/>
          <w:szCs w:val="24"/>
        </w:rPr>
        <w:t>Disabled and non-disabled staff.</w:t>
      </w:r>
      <w:r w:rsidR="00B76413" w:rsidRPr="0008214B">
        <w:rPr>
          <w:color w:val="365F91" w:themeColor="accent1" w:themeShade="BF"/>
          <w:sz w:val="24"/>
          <w:szCs w:val="24"/>
        </w:rPr>
        <w:t xml:space="preserve"> The WDES was introduced in 2019, </w:t>
      </w:r>
      <w:r w:rsidR="0080176E" w:rsidRPr="0008214B">
        <w:rPr>
          <w:color w:val="365F91" w:themeColor="accent1" w:themeShade="BF"/>
          <w:sz w:val="24"/>
          <w:szCs w:val="24"/>
        </w:rPr>
        <w:t>and is now in its fourth year</w:t>
      </w:r>
      <w:r w:rsidR="00A52CDD" w:rsidRPr="0008214B">
        <w:rPr>
          <w:color w:val="365F91" w:themeColor="accent1" w:themeShade="BF"/>
          <w:sz w:val="24"/>
          <w:szCs w:val="24"/>
        </w:rPr>
        <w:t>, looking at data from 1</w:t>
      </w:r>
      <w:r w:rsidR="00A52CDD" w:rsidRPr="0008214B">
        <w:rPr>
          <w:color w:val="365F91" w:themeColor="accent1" w:themeShade="BF"/>
          <w:sz w:val="24"/>
          <w:szCs w:val="24"/>
          <w:vertAlign w:val="superscript"/>
        </w:rPr>
        <w:t>st</w:t>
      </w:r>
      <w:r w:rsidR="00A52CDD" w:rsidRPr="0008214B">
        <w:rPr>
          <w:color w:val="365F91" w:themeColor="accent1" w:themeShade="BF"/>
          <w:sz w:val="24"/>
          <w:szCs w:val="24"/>
        </w:rPr>
        <w:t xml:space="preserve"> April 2021 to 31</w:t>
      </w:r>
      <w:r w:rsidR="00A52CDD" w:rsidRPr="0008214B">
        <w:rPr>
          <w:color w:val="365F91" w:themeColor="accent1" w:themeShade="BF"/>
          <w:sz w:val="24"/>
          <w:szCs w:val="24"/>
          <w:vertAlign w:val="superscript"/>
        </w:rPr>
        <w:t>st</w:t>
      </w:r>
      <w:r w:rsidR="00A52CDD" w:rsidRPr="0008214B">
        <w:rPr>
          <w:color w:val="365F91" w:themeColor="accent1" w:themeShade="BF"/>
          <w:sz w:val="24"/>
          <w:szCs w:val="24"/>
        </w:rPr>
        <w:t xml:space="preserve"> March 2022.</w:t>
      </w:r>
    </w:p>
    <w:p w:rsidR="0072064C" w:rsidRPr="0008214B" w:rsidRDefault="0072064C" w:rsidP="00E600DE">
      <w:pPr>
        <w:spacing w:after="0"/>
        <w:rPr>
          <w:color w:val="365F91" w:themeColor="accent1" w:themeShade="BF"/>
          <w:sz w:val="24"/>
          <w:szCs w:val="24"/>
        </w:rPr>
      </w:pPr>
    </w:p>
    <w:p w:rsidR="00ED6F0C" w:rsidRPr="0008214B" w:rsidRDefault="00ED6F0C" w:rsidP="00ED6F0C">
      <w:pPr>
        <w:spacing w:after="0"/>
        <w:rPr>
          <w:color w:val="365F91" w:themeColor="accent1" w:themeShade="BF"/>
          <w:sz w:val="24"/>
          <w:szCs w:val="24"/>
        </w:rPr>
      </w:pPr>
      <w:r w:rsidRPr="0008214B">
        <w:rPr>
          <w:color w:val="365F91" w:themeColor="accent1" w:themeShade="BF"/>
          <w:sz w:val="24"/>
          <w:szCs w:val="24"/>
        </w:rPr>
        <w:t>As an NHS Trust, we publish our workforce data, reviewed against the ten metrics of the WDES, on an annual basis. This report is published alongside our WDES action plan, which</w:t>
      </w:r>
      <w:r w:rsidR="00811E58" w:rsidRPr="0008214B">
        <w:rPr>
          <w:color w:val="365F91" w:themeColor="accent1" w:themeShade="BF"/>
          <w:sz w:val="24"/>
          <w:szCs w:val="24"/>
        </w:rPr>
        <w:t xml:space="preserve"> sets out detailed actions against each metric, along with responsible leads and projected timelines for completion.</w:t>
      </w:r>
    </w:p>
    <w:p w:rsidR="004611DA" w:rsidRPr="0008214B" w:rsidRDefault="004611DA" w:rsidP="00E600DE">
      <w:pPr>
        <w:spacing w:after="0"/>
        <w:rPr>
          <w:color w:val="365F91" w:themeColor="accent1" w:themeShade="BF"/>
          <w:sz w:val="24"/>
          <w:szCs w:val="24"/>
        </w:rPr>
      </w:pPr>
    </w:p>
    <w:p w:rsidR="00811E58" w:rsidRPr="0008214B" w:rsidRDefault="00270909" w:rsidP="00E600DE">
      <w:pPr>
        <w:spacing w:after="0"/>
        <w:rPr>
          <w:color w:val="365F91" w:themeColor="accent1" w:themeShade="BF"/>
          <w:sz w:val="36"/>
          <w:szCs w:val="36"/>
        </w:rPr>
      </w:pPr>
      <w:r w:rsidRPr="0008214B">
        <w:rPr>
          <w:color w:val="365F91" w:themeColor="accent1" w:themeShade="BF"/>
          <w:sz w:val="36"/>
          <w:szCs w:val="36"/>
        </w:rPr>
        <w:t>Metric 1</w:t>
      </w:r>
    </w:p>
    <w:p w:rsidR="00270909" w:rsidRPr="0008214B" w:rsidRDefault="00270909" w:rsidP="00E600DE">
      <w:pPr>
        <w:spacing w:after="0"/>
        <w:rPr>
          <w:color w:val="365F91" w:themeColor="accent1" w:themeShade="BF"/>
          <w:sz w:val="24"/>
          <w:szCs w:val="24"/>
        </w:rPr>
      </w:pPr>
      <w:r w:rsidRPr="0008214B">
        <w:rPr>
          <w:color w:val="365F91" w:themeColor="accent1" w:themeShade="BF"/>
          <w:sz w:val="24"/>
          <w:szCs w:val="24"/>
        </w:rPr>
        <w:t xml:space="preserve">Percentage of staff in Agenda for Change (AfC) pay bands or </w:t>
      </w:r>
      <w:r w:rsidR="0087437F" w:rsidRPr="0008214B">
        <w:rPr>
          <w:color w:val="365F91" w:themeColor="accent1" w:themeShade="BF"/>
          <w:sz w:val="24"/>
          <w:szCs w:val="24"/>
        </w:rPr>
        <w:t>M</w:t>
      </w:r>
      <w:r w:rsidRPr="0008214B">
        <w:rPr>
          <w:color w:val="365F91" w:themeColor="accent1" w:themeShade="BF"/>
          <w:sz w:val="24"/>
          <w:szCs w:val="24"/>
        </w:rPr>
        <w:t xml:space="preserve">edical and </w:t>
      </w:r>
      <w:r w:rsidR="0087437F" w:rsidRPr="0008214B">
        <w:rPr>
          <w:color w:val="365F91" w:themeColor="accent1" w:themeShade="BF"/>
          <w:sz w:val="24"/>
          <w:szCs w:val="24"/>
        </w:rPr>
        <w:t>D</w:t>
      </w:r>
      <w:r w:rsidRPr="0008214B">
        <w:rPr>
          <w:color w:val="365F91" w:themeColor="accent1" w:themeShade="BF"/>
          <w:sz w:val="24"/>
          <w:szCs w:val="24"/>
        </w:rPr>
        <w:t xml:space="preserve">ental subgroups and </w:t>
      </w:r>
      <w:r w:rsidR="0087437F" w:rsidRPr="0008214B">
        <w:rPr>
          <w:color w:val="365F91" w:themeColor="accent1" w:themeShade="BF"/>
          <w:sz w:val="24"/>
          <w:szCs w:val="24"/>
        </w:rPr>
        <w:t>V</w:t>
      </w:r>
      <w:r w:rsidRPr="0008214B">
        <w:rPr>
          <w:color w:val="365F91" w:themeColor="accent1" w:themeShade="BF"/>
          <w:sz w:val="24"/>
          <w:szCs w:val="24"/>
        </w:rPr>
        <w:t xml:space="preserve">ery </w:t>
      </w:r>
      <w:r w:rsidR="0087437F" w:rsidRPr="0008214B">
        <w:rPr>
          <w:color w:val="365F91" w:themeColor="accent1" w:themeShade="BF"/>
          <w:sz w:val="24"/>
          <w:szCs w:val="24"/>
        </w:rPr>
        <w:t>S</w:t>
      </w:r>
      <w:r w:rsidRPr="0008214B">
        <w:rPr>
          <w:color w:val="365F91" w:themeColor="accent1" w:themeShade="BF"/>
          <w:sz w:val="24"/>
          <w:szCs w:val="24"/>
        </w:rPr>
        <w:t xml:space="preserve">enior </w:t>
      </w:r>
      <w:r w:rsidR="0087437F" w:rsidRPr="0008214B">
        <w:rPr>
          <w:color w:val="365F91" w:themeColor="accent1" w:themeShade="BF"/>
          <w:sz w:val="24"/>
          <w:szCs w:val="24"/>
        </w:rPr>
        <w:t>M</w:t>
      </w:r>
      <w:r w:rsidRPr="0008214B">
        <w:rPr>
          <w:color w:val="365F91" w:themeColor="accent1" w:themeShade="BF"/>
          <w:sz w:val="24"/>
          <w:szCs w:val="24"/>
        </w:rPr>
        <w:t>anagers (</w:t>
      </w:r>
      <w:r w:rsidR="0087437F" w:rsidRPr="0008214B">
        <w:rPr>
          <w:color w:val="365F91" w:themeColor="accent1" w:themeShade="BF"/>
          <w:sz w:val="24"/>
          <w:szCs w:val="24"/>
        </w:rPr>
        <w:t xml:space="preserve">VSM, </w:t>
      </w:r>
      <w:r w:rsidRPr="0008214B">
        <w:rPr>
          <w:color w:val="365F91" w:themeColor="accent1" w:themeShade="BF"/>
          <w:sz w:val="24"/>
          <w:szCs w:val="24"/>
        </w:rPr>
        <w:t>including Executive Board members) compared with the percentage of staff in the overall workforce.</w:t>
      </w:r>
    </w:p>
    <w:p w:rsidR="00270909" w:rsidRPr="0008214B" w:rsidRDefault="00270909" w:rsidP="00E600DE">
      <w:pPr>
        <w:spacing w:after="0"/>
        <w:rPr>
          <w:color w:val="365F91" w:themeColor="accent1" w:themeShade="BF"/>
          <w:sz w:val="24"/>
          <w:szCs w:val="24"/>
        </w:rPr>
      </w:pPr>
    </w:p>
    <w:p w:rsidR="00270909" w:rsidRPr="0008214B" w:rsidRDefault="000975B1" w:rsidP="00E600DE">
      <w:pPr>
        <w:spacing w:after="0"/>
        <w:rPr>
          <w:color w:val="365F91" w:themeColor="accent1" w:themeShade="BF"/>
          <w:sz w:val="24"/>
          <w:szCs w:val="24"/>
        </w:rPr>
      </w:pPr>
      <w:r w:rsidRPr="0008214B">
        <w:rPr>
          <w:color w:val="365F91" w:themeColor="accent1" w:themeShade="BF"/>
          <w:sz w:val="24"/>
          <w:szCs w:val="24"/>
        </w:rPr>
        <w:t>Note</w:t>
      </w:r>
      <w:r w:rsidR="00377272" w:rsidRPr="0008214B">
        <w:rPr>
          <w:color w:val="365F91" w:themeColor="accent1" w:themeShade="BF"/>
          <w:sz w:val="24"/>
          <w:szCs w:val="24"/>
        </w:rPr>
        <w:t>s</w:t>
      </w:r>
      <w:r w:rsidRPr="0008214B">
        <w:rPr>
          <w:color w:val="365F91" w:themeColor="accent1" w:themeShade="BF"/>
          <w:sz w:val="24"/>
          <w:szCs w:val="24"/>
        </w:rPr>
        <w:t xml:space="preserve">: definitions for these categories are based on Electronic Staff Record (ESR) occupation codes, with the exception of </w:t>
      </w:r>
      <w:r w:rsidR="0087437F" w:rsidRPr="0008214B">
        <w:rPr>
          <w:color w:val="365F91" w:themeColor="accent1" w:themeShade="BF"/>
          <w:sz w:val="24"/>
          <w:szCs w:val="24"/>
        </w:rPr>
        <w:t>M</w:t>
      </w:r>
      <w:r w:rsidRPr="0008214B">
        <w:rPr>
          <w:color w:val="365F91" w:themeColor="accent1" w:themeShade="BF"/>
          <w:sz w:val="24"/>
          <w:szCs w:val="24"/>
        </w:rPr>
        <w:t xml:space="preserve">edical and </w:t>
      </w:r>
      <w:r w:rsidR="0087437F" w:rsidRPr="0008214B">
        <w:rPr>
          <w:color w:val="365F91" w:themeColor="accent1" w:themeShade="BF"/>
          <w:sz w:val="24"/>
          <w:szCs w:val="24"/>
        </w:rPr>
        <w:t>D</w:t>
      </w:r>
      <w:r w:rsidRPr="0008214B">
        <w:rPr>
          <w:color w:val="365F91" w:themeColor="accent1" w:themeShade="BF"/>
          <w:sz w:val="24"/>
          <w:szCs w:val="24"/>
        </w:rPr>
        <w:t>ental staff, which are based upon grade codes.</w:t>
      </w:r>
      <w:r w:rsidR="00377272" w:rsidRPr="0008214B">
        <w:rPr>
          <w:color w:val="365F91" w:themeColor="accent1" w:themeShade="BF"/>
          <w:sz w:val="24"/>
          <w:szCs w:val="24"/>
        </w:rPr>
        <w:t xml:space="preserve"> The data is taken at year end, i.e. 31</w:t>
      </w:r>
      <w:r w:rsidR="00377272" w:rsidRPr="0008214B">
        <w:rPr>
          <w:color w:val="365F91" w:themeColor="accent1" w:themeShade="BF"/>
          <w:sz w:val="24"/>
          <w:szCs w:val="24"/>
          <w:vertAlign w:val="superscript"/>
        </w:rPr>
        <w:t>st</w:t>
      </w:r>
      <w:r w:rsidR="00377272" w:rsidRPr="0008214B">
        <w:rPr>
          <w:color w:val="365F91" w:themeColor="accent1" w:themeShade="BF"/>
          <w:sz w:val="24"/>
          <w:szCs w:val="24"/>
        </w:rPr>
        <w:t xml:space="preserve"> March 2022.</w:t>
      </w:r>
    </w:p>
    <w:p w:rsidR="00E166E7" w:rsidRPr="0008214B" w:rsidRDefault="00E166E7" w:rsidP="00E600DE">
      <w:pPr>
        <w:spacing w:after="0"/>
        <w:rPr>
          <w:color w:val="365F91" w:themeColor="accent1" w:themeShade="BF"/>
          <w:sz w:val="24"/>
          <w:szCs w:val="24"/>
        </w:rPr>
      </w:pPr>
    </w:p>
    <w:p w:rsidR="00E166E7" w:rsidRPr="0008214B" w:rsidRDefault="00E166E7" w:rsidP="00E600DE">
      <w:pPr>
        <w:spacing w:after="0"/>
        <w:rPr>
          <w:color w:val="365F91" w:themeColor="accent1" w:themeShade="BF"/>
          <w:sz w:val="24"/>
          <w:szCs w:val="24"/>
        </w:rPr>
      </w:pPr>
      <w:r w:rsidRPr="0008214B">
        <w:rPr>
          <w:color w:val="365F91" w:themeColor="accent1" w:themeShade="BF"/>
          <w:sz w:val="24"/>
          <w:szCs w:val="24"/>
        </w:rPr>
        <w:t>Workforce totals</w:t>
      </w:r>
    </w:p>
    <w:tbl>
      <w:tblPr>
        <w:tblStyle w:val="TableGrid"/>
        <w:tblW w:w="0" w:type="auto"/>
        <w:tblLook w:val="04A0" w:firstRow="1" w:lastRow="0" w:firstColumn="1" w:lastColumn="0" w:noHBand="0" w:noVBand="1"/>
      </w:tblPr>
      <w:tblGrid>
        <w:gridCol w:w="4508"/>
        <w:gridCol w:w="4508"/>
      </w:tblGrid>
      <w:tr w:rsidR="00E166E7" w:rsidRPr="0008214B" w:rsidTr="00E166E7">
        <w:tc>
          <w:tcPr>
            <w:tcW w:w="4508" w:type="dxa"/>
            <w:shd w:val="clear" w:color="auto" w:fill="F2F2F2" w:themeFill="background1" w:themeFillShade="F2"/>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Trust workforce by year</w:t>
            </w:r>
          </w:p>
        </w:tc>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Workforce total</w:t>
            </w:r>
          </w:p>
        </w:tc>
      </w:tr>
      <w:tr w:rsidR="00E166E7" w:rsidRPr="0008214B" w:rsidTr="00E166E7">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2019</w:t>
            </w:r>
          </w:p>
        </w:tc>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4,670</w:t>
            </w:r>
          </w:p>
        </w:tc>
      </w:tr>
      <w:tr w:rsidR="00E166E7" w:rsidRPr="0008214B" w:rsidTr="00E166E7">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2020</w:t>
            </w:r>
          </w:p>
        </w:tc>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4,873</w:t>
            </w:r>
          </w:p>
        </w:tc>
      </w:tr>
      <w:tr w:rsidR="00E166E7" w:rsidRPr="0008214B" w:rsidTr="00E166E7">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2021</w:t>
            </w:r>
          </w:p>
        </w:tc>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5,126</w:t>
            </w:r>
          </w:p>
        </w:tc>
      </w:tr>
      <w:tr w:rsidR="00E166E7" w:rsidRPr="0008214B" w:rsidTr="00E166E7">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2022</w:t>
            </w:r>
          </w:p>
        </w:tc>
        <w:tc>
          <w:tcPr>
            <w:tcW w:w="4508"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5,675</w:t>
            </w:r>
          </w:p>
        </w:tc>
      </w:tr>
    </w:tbl>
    <w:p w:rsidR="00E166E7" w:rsidRPr="0008214B" w:rsidRDefault="00E166E7"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E166E7" w:rsidRPr="0008214B" w:rsidTr="00E166E7">
        <w:tc>
          <w:tcPr>
            <w:tcW w:w="3005" w:type="dxa"/>
            <w:shd w:val="clear" w:color="auto" w:fill="F2F2F2" w:themeFill="background1" w:themeFillShade="F2"/>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2022 workforce breakdown</w:t>
            </w:r>
          </w:p>
        </w:tc>
        <w:tc>
          <w:tcPr>
            <w:tcW w:w="3005"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Headcount</w:t>
            </w:r>
          </w:p>
        </w:tc>
        <w:tc>
          <w:tcPr>
            <w:tcW w:w="3006"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Percentage</w:t>
            </w:r>
          </w:p>
        </w:tc>
      </w:tr>
      <w:tr w:rsidR="00E166E7" w:rsidRPr="0008214B" w:rsidTr="00E166E7">
        <w:tc>
          <w:tcPr>
            <w:tcW w:w="3005"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Disabled</w:t>
            </w:r>
          </w:p>
        </w:tc>
        <w:tc>
          <w:tcPr>
            <w:tcW w:w="3005" w:type="dxa"/>
          </w:tcPr>
          <w:p w:rsidR="00E166E7" w:rsidRPr="0008214B" w:rsidRDefault="00FC77F3" w:rsidP="00E600DE">
            <w:pPr>
              <w:rPr>
                <w:color w:val="365F91" w:themeColor="accent1" w:themeShade="BF"/>
                <w:sz w:val="24"/>
                <w:szCs w:val="24"/>
              </w:rPr>
            </w:pPr>
            <w:r w:rsidRPr="0008214B">
              <w:rPr>
                <w:color w:val="365F91" w:themeColor="accent1" w:themeShade="BF"/>
                <w:sz w:val="24"/>
                <w:szCs w:val="24"/>
              </w:rPr>
              <w:t>592</w:t>
            </w:r>
          </w:p>
        </w:tc>
        <w:tc>
          <w:tcPr>
            <w:tcW w:w="3006" w:type="dxa"/>
          </w:tcPr>
          <w:p w:rsidR="00E166E7" w:rsidRPr="0008214B" w:rsidRDefault="00FC77F3" w:rsidP="00E600DE">
            <w:pPr>
              <w:rPr>
                <w:color w:val="365F91" w:themeColor="accent1" w:themeShade="BF"/>
                <w:sz w:val="24"/>
                <w:szCs w:val="24"/>
              </w:rPr>
            </w:pPr>
            <w:r w:rsidRPr="0008214B">
              <w:rPr>
                <w:color w:val="365F91" w:themeColor="accent1" w:themeShade="BF"/>
                <w:sz w:val="24"/>
                <w:szCs w:val="24"/>
              </w:rPr>
              <w:t>10.43</w:t>
            </w:r>
          </w:p>
        </w:tc>
      </w:tr>
      <w:tr w:rsidR="00E166E7" w:rsidRPr="0008214B" w:rsidTr="00E166E7">
        <w:tc>
          <w:tcPr>
            <w:tcW w:w="3005"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Non-disabled</w:t>
            </w:r>
          </w:p>
        </w:tc>
        <w:tc>
          <w:tcPr>
            <w:tcW w:w="3005"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4,472</w:t>
            </w:r>
          </w:p>
        </w:tc>
        <w:tc>
          <w:tcPr>
            <w:tcW w:w="3006"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78.80</w:t>
            </w:r>
          </w:p>
        </w:tc>
      </w:tr>
      <w:tr w:rsidR="00E166E7" w:rsidRPr="0008214B" w:rsidTr="00E166E7">
        <w:tc>
          <w:tcPr>
            <w:tcW w:w="3005" w:type="dxa"/>
          </w:tcPr>
          <w:p w:rsidR="00E166E7" w:rsidRPr="0008214B" w:rsidRDefault="00E166E7" w:rsidP="00E600DE">
            <w:pPr>
              <w:rPr>
                <w:color w:val="365F91" w:themeColor="accent1" w:themeShade="BF"/>
                <w:sz w:val="24"/>
                <w:szCs w:val="24"/>
              </w:rPr>
            </w:pPr>
            <w:r w:rsidRPr="0008214B">
              <w:rPr>
                <w:color w:val="365F91" w:themeColor="accent1" w:themeShade="BF"/>
                <w:sz w:val="24"/>
                <w:szCs w:val="24"/>
              </w:rPr>
              <w:t>Unknown</w:t>
            </w:r>
          </w:p>
        </w:tc>
        <w:tc>
          <w:tcPr>
            <w:tcW w:w="3005" w:type="dxa"/>
          </w:tcPr>
          <w:p w:rsidR="00E166E7" w:rsidRPr="0008214B" w:rsidRDefault="00FC77F3" w:rsidP="00E600DE">
            <w:pPr>
              <w:rPr>
                <w:color w:val="365F91" w:themeColor="accent1" w:themeShade="BF"/>
                <w:sz w:val="24"/>
                <w:szCs w:val="24"/>
              </w:rPr>
            </w:pPr>
            <w:r w:rsidRPr="0008214B">
              <w:rPr>
                <w:color w:val="365F91" w:themeColor="accent1" w:themeShade="BF"/>
                <w:sz w:val="24"/>
                <w:szCs w:val="24"/>
              </w:rPr>
              <w:t>611</w:t>
            </w:r>
          </w:p>
        </w:tc>
        <w:tc>
          <w:tcPr>
            <w:tcW w:w="3006" w:type="dxa"/>
          </w:tcPr>
          <w:p w:rsidR="00E166E7" w:rsidRPr="0008214B" w:rsidRDefault="00FC77F3" w:rsidP="00E600DE">
            <w:pPr>
              <w:rPr>
                <w:color w:val="365F91" w:themeColor="accent1" w:themeShade="BF"/>
                <w:sz w:val="24"/>
                <w:szCs w:val="24"/>
              </w:rPr>
            </w:pPr>
            <w:r w:rsidRPr="0008214B">
              <w:rPr>
                <w:color w:val="365F91" w:themeColor="accent1" w:themeShade="BF"/>
                <w:sz w:val="24"/>
                <w:szCs w:val="24"/>
              </w:rPr>
              <w:t>10.77</w:t>
            </w:r>
          </w:p>
        </w:tc>
      </w:tr>
    </w:tbl>
    <w:p w:rsidR="000975B1" w:rsidRPr="0008214B" w:rsidRDefault="000975B1"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87437F" w:rsidRPr="0008214B" w:rsidTr="0087437F">
        <w:tc>
          <w:tcPr>
            <w:tcW w:w="2254" w:type="dxa"/>
            <w:shd w:val="clear" w:color="auto" w:fill="F2F2F2" w:themeFill="background1" w:themeFillShade="F2"/>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Disabled staff percentage by year</w:t>
            </w:r>
          </w:p>
        </w:tc>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Workforce total</w:t>
            </w:r>
          </w:p>
        </w:tc>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Disabled staff headcount</w:t>
            </w:r>
          </w:p>
        </w:tc>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Disabled staff percentage</w:t>
            </w:r>
          </w:p>
        </w:tc>
      </w:tr>
      <w:tr w:rsidR="0087437F" w:rsidRPr="0008214B" w:rsidTr="0087437F">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2019</w:t>
            </w:r>
          </w:p>
        </w:tc>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4,670</w:t>
            </w:r>
          </w:p>
        </w:tc>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371</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7.94</w:t>
            </w:r>
          </w:p>
        </w:tc>
      </w:tr>
      <w:tr w:rsidR="0087437F" w:rsidRPr="0008214B" w:rsidTr="0087437F">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2020</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4,873</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439</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9.01</w:t>
            </w:r>
          </w:p>
        </w:tc>
      </w:tr>
      <w:tr w:rsidR="0087437F" w:rsidRPr="0008214B" w:rsidTr="0087437F">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t>2021</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5,126</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475</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9.27</w:t>
            </w:r>
          </w:p>
        </w:tc>
      </w:tr>
      <w:tr w:rsidR="0087437F" w:rsidRPr="0008214B" w:rsidTr="0087437F">
        <w:tc>
          <w:tcPr>
            <w:tcW w:w="2254" w:type="dxa"/>
          </w:tcPr>
          <w:p w:rsidR="0087437F" w:rsidRPr="0008214B" w:rsidRDefault="0087437F" w:rsidP="00E600DE">
            <w:pPr>
              <w:rPr>
                <w:color w:val="365F91" w:themeColor="accent1" w:themeShade="BF"/>
                <w:sz w:val="24"/>
                <w:szCs w:val="24"/>
              </w:rPr>
            </w:pPr>
            <w:r w:rsidRPr="0008214B">
              <w:rPr>
                <w:color w:val="365F91" w:themeColor="accent1" w:themeShade="BF"/>
                <w:sz w:val="24"/>
                <w:szCs w:val="24"/>
              </w:rPr>
              <w:lastRenderedPageBreak/>
              <w:t>202</w:t>
            </w:r>
            <w:r w:rsidR="00D04C7F">
              <w:rPr>
                <w:color w:val="365F91" w:themeColor="accent1" w:themeShade="BF"/>
                <w:sz w:val="24"/>
                <w:szCs w:val="24"/>
              </w:rPr>
              <w:t>2</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5,675</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592</w:t>
            </w:r>
          </w:p>
        </w:tc>
        <w:tc>
          <w:tcPr>
            <w:tcW w:w="2254" w:type="dxa"/>
          </w:tcPr>
          <w:p w:rsidR="0087437F" w:rsidRPr="0008214B" w:rsidRDefault="00AC3EF9" w:rsidP="00E600DE">
            <w:pPr>
              <w:rPr>
                <w:color w:val="365F91" w:themeColor="accent1" w:themeShade="BF"/>
                <w:sz w:val="24"/>
                <w:szCs w:val="24"/>
              </w:rPr>
            </w:pPr>
            <w:r w:rsidRPr="0008214B">
              <w:rPr>
                <w:color w:val="365F91" w:themeColor="accent1" w:themeShade="BF"/>
                <w:sz w:val="24"/>
                <w:szCs w:val="24"/>
              </w:rPr>
              <w:t>10.43</w:t>
            </w:r>
          </w:p>
        </w:tc>
      </w:tr>
    </w:tbl>
    <w:p w:rsidR="00377272" w:rsidRPr="0008214B" w:rsidRDefault="00377272" w:rsidP="00E600DE">
      <w:pPr>
        <w:spacing w:after="0"/>
        <w:rPr>
          <w:color w:val="365F91" w:themeColor="accent1" w:themeShade="BF"/>
          <w:sz w:val="24"/>
          <w:szCs w:val="24"/>
        </w:rPr>
      </w:pPr>
    </w:p>
    <w:p w:rsidR="0087437F" w:rsidRPr="0008214B" w:rsidRDefault="00AC3EF9" w:rsidP="00E600DE">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87437F" w:rsidRPr="0008214B" w:rsidRDefault="0087437F" w:rsidP="00E600DE">
      <w:pPr>
        <w:spacing w:after="0"/>
        <w:rPr>
          <w:color w:val="365F91" w:themeColor="accent1" w:themeShade="BF"/>
          <w:sz w:val="24"/>
          <w:szCs w:val="24"/>
        </w:rPr>
      </w:pPr>
    </w:p>
    <w:p w:rsidR="00E166E7" w:rsidRPr="0008214B" w:rsidRDefault="00E166E7" w:rsidP="00E600DE">
      <w:pPr>
        <w:spacing w:after="0"/>
        <w:rPr>
          <w:color w:val="365F91" w:themeColor="accent1" w:themeShade="BF"/>
          <w:sz w:val="24"/>
          <w:szCs w:val="24"/>
        </w:rPr>
      </w:pPr>
      <w:r w:rsidRPr="0008214B">
        <w:rPr>
          <w:color w:val="365F91" w:themeColor="accent1" w:themeShade="BF"/>
          <w:sz w:val="24"/>
          <w:szCs w:val="24"/>
        </w:rPr>
        <w:t>Non-clinical totals</w:t>
      </w:r>
    </w:p>
    <w:tbl>
      <w:tblPr>
        <w:tblStyle w:val="TableGrid"/>
        <w:tblW w:w="0" w:type="auto"/>
        <w:tblLook w:val="04A0" w:firstRow="1" w:lastRow="0" w:firstColumn="1" w:lastColumn="0" w:noHBand="0" w:noVBand="1"/>
      </w:tblPr>
      <w:tblGrid>
        <w:gridCol w:w="3005"/>
        <w:gridCol w:w="3005"/>
        <w:gridCol w:w="3006"/>
      </w:tblGrid>
      <w:tr w:rsidR="00E166E7" w:rsidRPr="0008214B" w:rsidTr="00AE6E6E">
        <w:tc>
          <w:tcPr>
            <w:tcW w:w="3005" w:type="dxa"/>
            <w:shd w:val="clear" w:color="auto" w:fill="F2F2F2" w:themeFill="background1" w:themeFillShade="F2"/>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Non-clinical cluster 1 (AfC bands under 1, 1-4)</w:t>
            </w:r>
          </w:p>
        </w:tc>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Percentage</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89</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8.72</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823</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80.61</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109</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10.68</w:t>
            </w:r>
          </w:p>
        </w:tc>
      </w:tr>
    </w:tbl>
    <w:p w:rsidR="00E166E7" w:rsidRPr="0008214B" w:rsidRDefault="00E166E7"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E166E7" w:rsidRPr="0008214B" w:rsidTr="00AE6E6E">
        <w:tc>
          <w:tcPr>
            <w:tcW w:w="3005" w:type="dxa"/>
            <w:shd w:val="clear" w:color="auto" w:fill="F2F2F2" w:themeFill="background1" w:themeFillShade="F2"/>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Non-clinical cluster 2 (AfC bands 5-7)</w:t>
            </w:r>
          </w:p>
        </w:tc>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Percentage</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32</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9.01</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285</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80.28</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38</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10.70</w:t>
            </w:r>
          </w:p>
        </w:tc>
      </w:tr>
    </w:tbl>
    <w:p w:rsidR="00E166E7" w:rsidRPr="0008214B" w:rsidRDefault="00E166E7" w:rsidP="00E166E7">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E166E7" w:rsidRPr="0008214B" w:rsidTr="00AE6E6E">
        <w:tc>
          <w:tcPr>
            <w:tcW w:w="3005" w:type="dxa"/>
            <w:shd w:val="clear" w:color="auto" w:fill="F2F2F2" w:themeFill="background1" w:themeFillShade="F2"/>
          </w:tcPr>
          <w:p w:rsidR="00E166E7" w:rsidRPr="0008214B" w:rsidRDefault="00E166E7" w:rsidP="00E166E7">
            <w:pPr>
              <w:rPr>
                <w:color w:val="365F91" w:themeColor="accent1" w:themeShade="BF"/>
                <w:sz w:val="24"/>
                <w:szCs w:val="24"/>
              </w:rPr>
            </w:pPr>
            <w:r w:rsidRPr="0008214B">
              <w:rPr>
                <w:color w:val="365F91" w:themeColor="accent1" w:themeShade="BF"/>
                <w:sz w:val="24"/>
                <w:szCs w:val="24"/>
              </w:rPr>
              <w:t>Non-clinical cluster 3 (AfC bands 8a, 8b)</w:t>
            </w:r>
          </w:p>
        </w:tc>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Percentage</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11</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7.86</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115</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82.14</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14</w:t>
            </w:r>
          </w:p>
        </w:tc>
        <w:tc>
          <w:tcPr>
            <w:tcW w:w="3006" w:type="dxa"/>
          </w:tcPr>
          <w:p w:rsidR="00E166E7" w:rsidRPr="0008214B" w:rsidRDefault="00FC77F3" w:rsidP="00AE6E6E">
            <w:pPr>
              <w:rPr>
                <w:color w:val="365F91" w:themeColor="accent1" w:themeShade="BF"/>
                <w:sz w:val="24"/>
                <w:szCs w:val="24"/>
              </w:rPr>
            </w:pPr>
            <w:r w:rsidRPr="0008214B">
              <w:rPr>
                <w:color w:val="365F91" w:themeColor="accent1" w:themeShade="BF"/>
                <w:sz w:val="24"/>
                <w:szCs w:val="24"/>
              </w:rPr>
              <w:t>10.00</w:t>
            </w:r>
          </w:p>
        </w:tc>
      </w:tr>
    </w:tbl>
    <w:p w:rsidR="00E166E7" w:rsidRPr="0008214B" w:rsidRDefault="00E166E7"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E166E7" w:rsidRPr="0008214B" w:rsidTr="00AE6E6E">
        <w:tc>
          <w:tcPr>
            <w:tcW w:w="3005" w:type="dxa"/>
            <w:shd w:val="clear" w:color="auto" w:fill="F2F2F2" w:themeFill="background1" w:themeFillShade="F2"/>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Non-clinical cluster 4 (AfC bands 8c, 8d, 9, VSM including Executive Board members)</w:t>
            </w:r>
          </w:p>
        </w:tc>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Percentage</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E166E7" w:rsidRPr="0008214B" w:rsidRDefault="00C94B26" w:rsidP="00AE6E6E">
            <w:pPr>
              <w:rPr>
                <w:color w:val="365F91" w:themeColor="accent1" w:themeShade="BF"/>
                <w:sz w:val="24"/>
                <w:szCs w:val="24"/>
              </w:rPr>
            </w:pPr>
            <w:r w:rsidRPr="0008214B">
              <w:rPr>
                <w:color w:val="365F91" w:themeColor="accent1" w:themeShade="BF"/>
                <w:sz w:val="24"/>
                <w:szCs w:val="24"/>
              </w:rPr>
              <w:t>3</w:t>
            </w:r>
          </w:p>
        </w:tc>
        <w:tc>
          <w:tcPr>
            <w:tcW w:w="3006" w:type="dxa"/>
          </w:tcPr>
          <w:p w:rsidR="00E166E7" w:rsidRPr="0008214B" w:rsidRDefault="00C94B26" w:rsidP="00AE6E6E">
            <w:pPr>
              <w:rPr>
                <w:color w:val="365F91" w:themeColor="accent1" w:themeShade="BF"/>
                <w:sz w:val="24"/>
                <w:szCs w:val="24"/>
              </w:rPr>
            </w:pPr>
            <w:r w:rsidRPr="0008214B">
              <w:rPr>
                <w:color w:val="365F91" w:themeColor="accent1" w:themeShade="BF"/>
                <w:sz w:val="24"/>
                <w:szCs w:val="24"/>
              </w:rPr>
              <w:t>5.45</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E166E7" w:rsidRPr="0008214B" w:rsidRDefault="00C94B26" w:rsidP="00AE6E6E">
            <w:pPr>
              <w:rPr>
                <w:color w:val="365F91" w:themeColor="accent1" w:themeShade="BF"/>
                <w:sz w:val="24"/>
                <w:szCs w:val="24"/>
              </w:rPr>
            </w:pPr>
            <w:r w:rsidRPr="0008214B">
              <w:rPr>
                <w:color w:val="365F91" w:themeColor="accent1" w:themeShade="BF"/>
                <w:sz w:val="24"/>
                <w:szCs w:val="24"/>
              </w:rPr>
              <w:t>46</w:t>
            </w:r>
          </w:p>
        </w:tc>
        <w:tc>
          <w:tcPr>
            <w:tcW w:w="3006" w:type="dxa"/>
          </w:tcPr>
          <w:p w:rsidR="00E166E7" w:rsidRPr="0008214B" w:rsidRDefault="00C94B26" w:rsidP="00AE6E6E">
            <w:pPr>
              <w:rPr>
                <w:color w:val="365F91" w:themeColor="accent1" w:themeShade="BF"/>
                <w:sz w:val="24"/>
                <w:szCs w:val="24"/>
              </w:rPr>
            </w:pPr>
            <w:r w:rsidRPr="0008214B">
              <w:rPr>
                <w:color w:val="365F91" w:themeColor="accent1" w:themeShade="BF"/>
                <w:sz w:val="24"/>
                <w:szCs w:val="24"/>
              </w:rPr>
              <w:t>83.64</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lastRenderedPageBreak/>
              <w:t>Unknown</w:t>
            </w:r>
          </w:p>
        </w:tc>
        <w:tc>
          <w:tcPr>
            <w:tcW w:w="3005" w:type="dxa"/>
          </w:tcPr>
          <w:p w:rsidR="00E166E7" w:rsidRPr="0008214B" w:rsidRDefault="00C94B26" w:rsidP="00AE6E6E">
            <w:pPr>
              <w:rPr>
                <w:color w:val="365F91" w:themeColor="accent1" w:themeShade="BF"/>
                <w:sz w:val="24"/>
                <w:szCs w:val="24"/>
              </w:rPr>
            </w:pPr>
            <w:r w:rsidRPr="0008214B">
              <w:rPr>
                <w:color w:val="365F91" w:themeColor="accent1" w:themeShade="BF"/>
                <w:sz w:val="24"/>
                <w:szCs w:val="24"/>
              </w:rPr>
              <w:t>6</w:t>
            </w:r>
          </w:p>
        </w:tc>
        <w:tc>
          <w:tcPr>
            <w:tcW w:w="3006"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10.91</w:t>
            </w:r>
          </w:p>
        </w:tc>
      </w:tr>
    </w:tbl>
    <w:p w:rsidR="00E166E7" w:rsidRPr="0008214B" w:rsidRDefault="00E166E7" w:rsidP="00E600DE">
      <w:pPr>
        <w:spacing w:after="0"/>
        <w:rPr>
          <w:color w:val="365F91" w:themeColor="accent1" w:themeShade="BF"/>
          <w:sz w:val="24"/>
          <w:szCs w:val="24"/>
        </w:rPr>
      </w:pPr>
    </w:p>
    <w:p w:rsidR="00B6666C" w:rsidRPr="0008214B" w:rsidRDefault="00B6666C" w:rsidP="00E600DE">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B6666C" w:rsidRPr="0008214B" w:rsidRDefault="00B6666C" w:rsidP="00E600DE">
      <w:pPr>
        <w:spacing w:after="0"/>
        <w:rPr>
          <w:color w:val="365F91" w:themeColor="accent1" w:themeShade="BF"/>
          <w:sz w:val="24"/>
          <w:szCs w:val="24"/>
        </w:rPr>
      </w:pPr>
    </w:p>
    <w:p w:rsidR="00E166E7" w:rsidRPr="0008214B" w:rsidRDefault="00E166E7" w:rsidP="00E600DE">
      <w:pPr>
        <w:spacing w:after="0"/>
        <w:rPr>
          <w:color w:val="365F91" w:themeColor="accent1" w:themeShade="BF"/>
          <w:sz w:val="24"/>
          <w:szCs w:val="24"/>
        </w:rPr>
      </w:pPr>
      <w:r w:rsidRPr="0008214B">
        <w:rPr>
          <w:color w:val="365F91" w:themeColor="accent1" w:themeShade="BF"/>
          <w:sz w:val="24"/>
          <w:szCs w:val="24"/>
        </w:rPr>
        <w:t>Clinical totals</w:t>
      </w:r>
    </w:p>
    <w:tbl>
      <w:tblPr>
        <w:tblStyle w:val="TableGrid"/>
        <w:tblW w:w="0" w:type="auto"/>
        <w:tblLook w:val="04A0" w:firstRow="1" w:lastRow="0" w:firstColumn="1" w:lastColumn="0" w:noHBand="0" w:noVBand="1"/>
      </w:tblPr>
      <w:tblGrid>
        <w:gridCol w:w="3005"/>
        <w:gridCol w:w="3005"/>
        <w:gridCol w:w="3006"/>
      </w:tblGrid>
      <w:tr w:rsidR="00E166E7" w:rsidRPr="0008214B" w:rsidTr="00AE6E6E">
        <w:tc>
          <w:tcPr>
            <w:tcW w:w="3005" w:type="dxa"/>
            <w:shd w:val="clear" w:color="auto" w:fill="F2F2F2" w:themeFill="background1" w:themeFillShade="F2"/>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Clinical cluster 1 (AfC bands under 1, 1-4)</w:t>
            </w:r>
          </w:p>
        </w:tc>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Percentage</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141</w:t>
            </w:r>
          </w:p>
        </w:tc>
        <w:tc>
          <w:tcPr>
            <w:tcW w:w="3006"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13.02</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841</w:t>
            </w:r>
          </w:p>
        </w:tc>
        <w:tc>
          <w:tcPr>
            <w:tcW w:w="3006"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77.65</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101</w:t>
            </w:r>
          </w:p>
        </w:tc>
        <w:tc>
          <w:tcPr>
            <w:tcW w:w="3006"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9.33</w:t>
            </w:r>
          </w:p>
        </w:tc>
      </w:tr>
    </w:tbl>
    <w:p w:rsidR="00E166E7" w:rsidRPr="0008214B" w:rsidRDefault="00E166E7"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E166E7" w:rsidRPr="0008214B" w:rsidTr="00AE6E6E">
        <w:tc>
          <w:tcPr>
            <w:tcW w:w="3005" w:type="dxa"/>
            <w:shd w:val="clear" w:color="auto" w:fill="F2F2F2" w:themeFill="background1" w:themeFillShade="F2"/>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Clinical cluster 2 (AfC bands 5-7)</w:t>
            </w:r>
          </w:p>
        </w:tc>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Percentage</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254</w:t>
            </w:r>
          </w:p>
        </w:tc>
        <w:tc>
          <w:tcPr>
            <w:tcW w:w="3006"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12.25</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1,613</w:t>
            </w:r>
          </w:p>
        </w:tc>
        <w:tc>
          <w:tcPr>
            <w:tcW w:w="3006"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77.77</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207</w:t>
            </w:r>
          </w:p>
        </w:tc>
        <w:tc>
          <w:tcPr>
            <w:tcW w:w="3006" w:type="dxa"/>
          </w:tcPr>
          <w:p w:rsidR="00E166E7" w:rsidRPr="0008214B" w:rsidRDefault="00CA596F" w:rsidP="00AE6E6E">
            <w:pPr>
              <w:rPr>
                <w:color w:val="365F91" w:themeColor="accent1" w:themeShade="BF"/>
                <w:sz w:val="24"/>
                <w:szCs w:val="24"/>
              </w:rPr>
            </w:pPr>
            <w:r w:rsidRPr="0008214B">
              <w:rPr>
                <w:color w:val="365F91" w:themeColor="accent1" w:themeShade="BF"/>
                <w:sz w:val="24"/>
                <w:szCs w:val="24"/>
              </w:rPr>
              <w:t>9.98</w:t>
            </w:r>
          </w:p>
        </w:tc>
      </w:tr>
    </w:tbl>
    <w:p w:rsidR="00E166E7" w:rsidRPr="0008214B" w:rsidRDefault="00E166E7"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E166E7" w:rsidRPr="0008214B" w:rsidTr="00AE6E6E">
        <w:tc>
          <w:tcPr>
            <w:tcW w:w="3005" w:type="dxa"/>
            <w:shd w:val="clear" w:color="auto" w:fill="F2F2F2" w:themeFill="background1" w:themeFillShade="F2"/>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Clinical cluster 3 (AfC bands 8a, 8b)</w:t>
            </w:r>
          </w:p>
        </w:tc>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Percentage</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E166E7" w:rsidRPr="0008214B" w:rsidRDefault="00500F9C" w:rsidP="00AE6E6E">
            <w:pPr>
              <w:rPr>
                <w:color w:val="365F91" w:themeColor="accent1" w:themeShade="BF"/>
                <w:sz w:val="24"/>
                <w:szCs w:val="24"/>
              </w:rPr>
            </w:pPr>
            <w:r w:rsidRPr="0008214B">
              <w:rPr>
                <w:color w:val="365F91" w:themeColor="accent1" w:themeShade="BF"/>
                <w:sz w:val="24"/>
                <w:szCs w:val="24"/>
              </w:rPr>
              <w:t>32</w:t>
            </w:r>
          </w:p>
        </w:tc>
        <w:tc>
          <w:tcPr>
            <w:tcW w:w="3006" w:type="dxa"/>
          </w:tcPr>
          <w:p w:rsidR="00E166E7" w:rsidRPr="0008214B" w:rsidRDefault="00B6666C" w:rsidP="00AE6E6E">
            <w:pPr>
              <w:rPr>
                <w:color w:val="365F91" w:themeColor="accent1" w:themeShade="BF"/>
                <w:sz w:val="24"/>
                <w:szCs w:val="24"/>
              </w:rPr>
            </w:pPr>
            <w:r w:rsidRPr="0008214B">
              <w:rPr>
                <w:color w:val="365F91" w:themeColor="accent1" w:themeShade="BF"/>
                <w:sz w:val="24"/>
                <w:szCs w:val="24"/>
              </w:rPr>
              <w:t>6.65</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E166E7" w:rsidRPr="0008214B" w:rsidRDefault="00B6666C" w:rsidP="00AE6E6E">
            <w:pPr>
              <w:rPr>
                <w:color w:val="365F91" w:themeColor="accent1" w:themeShade="BF"/>
                <w:sz w:val="24"/>
                <w:szCs w:val="24"/>
              </w:rPr>
            </w:pPr>
            <w:r w:rsidRPr="0008214B">
              <w:rPr>
                <w:color w:val="365F91" w:themeColor="accent1" w:themeShade="BF"/>
                <w:sz w:val="24"/>
                <w:szCs w:val="24"/>
              </w:rPr>
              <w:t>404</w:t>
            </w:r>
          </w:p>
        </w:tc>
        <w:tc>
          <w:tcPr>
            <w:tcW w:w="3006" w:type="dxa"/>
          </w:tcPr>
          <w:p w:rsidR="00E166E7" w:rsidRPr="0008214B" w:rsidRDefault="00B6666C" w:rsidP="00AE6E6E">
            <w:pPr>
              <w:rPr>
                <w:color w:val="365F91" w:themeColor="accent1" w:themeShade="BF"/>
                <w:sz w:val="24"/>
                <w:szCs w:val="24"/>
              </w:rPr>
            </w:pPr>
            <w:r w:rsidRPr="0008214B">
              <w:rPr>
                <w:color w:val="365F91" w:themeColor="accent1" w:themeShade="BF"/>
                <w:sz w:val="24"/>
                <w:szCs w:val="24"/>
              </w:rPr>
              <w:t>83.99</w:t>
            </w:r>
          </w:p>
        </w:tc>
      </w:tr>
      <w:tr w:rsidR="00E166E7" w:rsidRPr="0008214B" w:rsidTr="00AE6E6E">
        <w:tc>
          <w:tcPr>
            <w:tcW w:w="3005" w:type="dxa"/>
          </w:tcPr>
          <w:p w:rsidR="00E166E7" w:rsidRPr="0008214B" w:rsidRDefault="00E166E7"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E166E7" w:rsidRPr="0008214B" w:rsidRDefault="00B6666C" w:rsidP="00AE6E6E">
            <w:pPr>
              <w:rPr>
                <w:color w:val="365F91" w:themeColor="accent1" w:themeShade="BF"/>
                <w:sz w:val="24"/>
                <w:szCs w:val="24"/>
              </w:rPr>
            </w:pPr>
            <w:r w:rsidRPr="0008214B">
              <w:rPr>
                <w:color w:val="365F91" w:themeColor="accent1" w:themeShade="BF"/>
                <w:sz w:val="24"/>
                <w:szCs w:val="24"/>
              </w:rPr>
              <w:t>45</w:t>
            </w:r>
          </w:p>
        </w:tc>
        <w:tc>
          <w:tcPr>
            <w:tcW w:w="3006" w:type="dxa"/>
          </w:tcPr>
          <w:p w:rsidR="00E166E7" w:rsidRPr="0008214B" w:rsidRDefault="00B6666C" w:rsidP="00AE6E6E">
            <w:pPr>
              <w:rPr>
                <w:color w:val="365F91" w:themeColor="accent1" w:themeShade="BF"/>
                <w:sz w:val="24"/>
                <w:szCs w:val="24"/>
              </w:rPr>
            </w:pPr>
            <w:r w:rsidRPr="0008214B">
              <w:rPr>
                <w:color w:val="365F91" w:themeColor="accent1" w:themeShade="BF"/>
                <w:sz w:val="24"/>
                <w:szCs w:val="24"/>
              </w:rPr>
              <w:t>9.36</w:t>
            </w:r>
          </w:p>
        </w:tc>
      </w:tr>
    </w:tbl>
    <w:p w:rsidR="00E166E7" w:rsidRPr="0008214B" w:rsidRDefault="00E166E7"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1E59CB" w:rsidRPr="0008214B" w:rsidTr="00AE6E6E">
        <w:tc>
          <w:tcPr>
            <w:tcW w:w="3005" w:type="dxa"/>
            <w:shd w:val="clear" w:color="auto" w:fill="F2F2F2" w:themeFill="background1" w:themeFillShade="F2"/>
          </w:tcPr>
          <w:p w:rsidR="001E59CB" w:rsidRPr="0008214B" w:rsidRDefault="00906C43" w:rsidP="00AE6E6E">
            <w:pPr>
              <w:rPr>
                <w:color w:val="365F91" w:themeColor="accent1" w:themeShade="BF"/>
                <w:sz w:val="24"/>
                <w:szCs w:val="24"/>
              </w:rPr>
            </w:pPr>
            <w:r w:rsidRPr="0008214B">
              <w:rPr>
                <w:color w:val="365F91" w:themeColor="accent1" w:themeShade="BF"/>
                <w:sz w:val="24"/>
                <w:szCs w:val="24"/>
              </w:rPr>
              <w:t>Clinical cluster 4 (AfC bands 8c, 8d, 9, VSM including executive board members)</w:t>
            </w:r>
          </w:p>
        </w:tc>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Percentage</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1E59CB" w:rsidRPr="0008214B" w:rsidRDefault="00B6666C" w:rsidP="00AE6E6E">
            <w:pPr>
              <w:rPr>
                <w:color w:val="365F91" w:themeColor="accent1" w:themeShade="BF"/>
                <w:sz w:val="24"/>
                <w:szCs w:val="24"/>
              </w:rPr>
            </w:pPr>
            <w:r w:rsidRPr="0008214B">
              <w:rPr>
                <w:color w:val="365F91" w:themeColor="accent1" w:themeShade="BF"/>
                <w:sz w:val="24"/>
                <w:szCs w:val="24"/>
              </w:rPr>
              <w:t>2</w:t>
            </w:r>
          </w:p>
        </w:tc>
        <w:tc>
          <w:tcPr>
            <w:tcW w:w="3006" w:type="dxa"/>
          </w:tcPr>
          <w:p w:rsidR="001E59CB" w:rsidRPr="0008214B" w:rsidRDefault="00B6666C" w:rsidP="00AE6E6E">
            <w:pPr>
              <w:rPr>
                <w:color w:val="365F91" w:themeColor="accent1" w:themeShade="BF"/>
                <w:sz w:val="24"/>
                <w:szCs w:val="24"/>
              </w:rPr>
            </w:pPr>
            <w:r w:rsidRPr="0008214B">
              <w:rPr>
                <w:color w:val="365F91" w:themeColor="accent1" w:themeShade="BF"/>
                <w:sz w:val="24"/>
                <w:szCs w:val="24"/>
              </w:rPr>
              <w:t>2.27</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1E59CB" w:rsidRPr="0008214B" w:rsidRDefault="00B6666C" w:rsidP="00AE6E6E">
            <w:pPr>
              <w:rPr>
                <w:color w:val="365F91" w:themeColor="accent1" w:themeShade="BF"/>
                <w:sz w:val="24"/>
                <w:szCs w:val="24"/>
              </w:rPr>
            </w:pPr>
            <w:r w:rsidRPr="0008214B">
              <w:rPr>
                <w:color w:val="365F91" w:themeColor="accent1" w:themeShade="BF"/>
                <w:sz w:val="24"/>
                <w:szCs w:val="24"/>
              </w:rPr>
              <w:t>75</w:t>
            </w:r>
          </w:p>
        </w:tc>
        <w:tc>
          <w:tcPr>
            <w:tcW w:w="3006" w:type="dxa"/>
          </w:tcPr>
          <w:p w:rsidR="001E59CB" w:rsidRPr="0008214B" w:rsidRDefault="00B6666C" w:rsidP="00AE6E6E">
            <w:pPr>
              <w:rPr>
                <w:color w:val="365F91" w:themeColor="accent1" w:themeShade="BF"/>
                <w:sz w:val="24"/>
                <w:szCs w:val="24"/>
              </w:rPr>
            </w:pPr>
            <w:r w:rsidRPr="0008214B">
              <w:rPr>
                <w:color w:val="365F91" w:themeColor="accent1" w:themeShade="BF"/>
                <w:sz w:val="24"/>
                <w:szCs w:val="24"/>
              </w:rPr>
              <w:t>85.23</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1E59CB" w:rsidRPr="0008214B" w:rsidRDefault="00B6666C" w:rsidP="00AE6E6E">
            <w:pPr>
              <w:rPr>
                <w:color w:val="365F91" w:themeColor="accent1" w:themeShade="BF"/>
                <w:sz w:val="24"/>
                <w:szCs w:val="24"/>
              </w:rPr>
            </w:pPr>
            <w:r w:rsidRPr="0008214B">
              <w:rPr>
                <w:color w:val="365F91" w:themeColor="accent1" w:themeShade="BF"/>
                <w:sz w:val="24"/>
                <w:szCs w:val="24"/>
              </w:rPr>
              <w:t>11</w:t>
            </w:r>
          </w:p>
        </w:tc>
        <w:tc>
          <w:tcPr>
            <w:tcW w:w="3006" w:type="dxa"/>
          </w:tcPr>
          <w:p w:rsidR="001E59CB" w:rsidRPr="0008214B" w:rsidRDefault="00B6666C" w:rsidP="00AE6E6E">
            <w:pPr>
              <w:rPr>
                <w:color w:val="365F91" w:themeColor="accent1" w:themeShade="BF"/>
                <w:sz w:val="24"/>
                <w:szCs w:val="24"/>
              </w:rPr>
            </w:pPr>
            <w:r w:rsidRPr="0008214B">
              <w:rPr>
                <w:color w:val="365F91" w:themeColor="accent1" w:themeShade="BF"/>
                <w:sz w:val="24"/>
                <w:szCs w:val="24"/>
              </w:rPr>
              <w:t>12.50</w:t>
            </w:r>
          </w:p>
        </w:tc>
      </w:tr>
    </w:tbl>
    <w:p w:rsidR="00C52598" w:rsidRPr="0008214B" w:rsidRDefault="00C52598" w:rsidP="00C52598">
      <w:pPr>
        <w:spacing w:after="0"/>
        <w:rPr>
          <w:color w:val="365F91" w:themeColor="accent1" w:themeShade="BF"/>
          <w:sz w:val="24"/>
          <w:szCs w:val="24"/>
        </w:rPr>
      </w:pPr>
    </w:p>
    <w:p w:rsidR="00B6666C" w:rsidRPr="0008214B" w:rsidRDefault="00B6666C" w:rsidP="00C52598">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B6666C" w:rsidRPr="0008214B" w:rsidRDefault="00B6666C" w:rsidP="00C52598">
      <w:pPr>
        <w:spacing w:after="0"/>
        <w:rPr>
          <w:color w:val="365F91" w:themeColor="accent1" w:themeShade="BF"/>
          <w:sz w:val="24"/>
          <w:szCs w:val="24"/>
        </w:rPr>
      </w:pPr>
    </w:p>
    <w:p w:rsidR="00E936C2" w:rsidRPr="0008214B" w:rsidRDefault="00E936C2" w:rsidP="00C52598">
      <w:pPr>
        <w:spacing w:after="0"/>
        <w:rPr>
          <w:color w:val="365F91" w:themeColor="accent1" w:themeShade="BF"/>
          <w:sz w:val="24"/>
          <w:szCs w:val="24"/>
        </w:rPr>
      </w:pPr>
      <w:r w:rsidRPr="0008214B">
        <w:rPr>
          <w:color w:val="365F91" w:themeColor="accent1" w:themeShade="BF"/>
          <w:sz w:val="24"/>
          <w:szCs w:val="24"/>
        </w:rPr>
        <w:t>Medical and Dental totals</w:t>
      </w:r>
    </w:p>
    <w:tbl>
      <w:tblPr>
        <w:tblStyle w:val="TableGrid"/>
        <w:tblW w:w="0" w:type="auto"/>
        <w:tblLook w:val="04A0" w:firstRow="1" w:lastRow="0" w:firstColumn="1" w:lastColumn="0" w:noHBand="0" w:noVBand="1"/>
      </w:tblPr>
      <w:tblGrid>
        <w:gridCol w:w="3005"/>
        <w:gridCol w:w="3005"/>
        <w:gridCol w:w="3006"/>
      </w:tblGrid>
      <w:tr w:rsidR="001E59CB" w:rsidRPr="0008214B" w:rsidTr="00AE6E6E">
        <w:tc>
          <w:tcPr>
            <w:tcW w:w="3005" w:type="dxa"/>
            <w:shd w:val="clear" w:color="auto" w:fill="F2F2F2" w:themeFill="background1" w:themeFillShade="F2"/>
          </w:tcPr>
          <w:p w:rsidR="001E59CB" w:rsidRPr="0008214B" w:rsidRDefault="000E2FAA" w:rsidP="00AE6E6E">
            <w:pPr>
              <w:rPr>
                <w:color w:val="365F91" w:themeColor="accent1" w:themeShade="BF"/>
                <w:sz w:val="24"/>
                <w:szCs w:val="24"/>
              </w:rPr>
            </w:pPr>
            <w:r w:rsidRPr="0008214B">
              <w:rPr>
                <w:color w:val="365F91" w:themeColor="accent1" w:themeShade="BF"/>
                <w:sz w:val="24"/>
                <w:szCs w:val="24"/>
              </w:rPr>
              <w:t>Clinical cluster 5 (Medical and Dental: Consultants)</w:t>
            </w:r>
          </w:p>
        </w:tc>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Percentage</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10</w:t>
            </w:r>
          </w:p>
        </w:tc>
        <w:tc>
          <w:tcPr>
            <w:tcW w:w="3006"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5.81</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123</w:t>
            </w:r>
          </w:p>
        </w:tc>
        <w:tc>
          <w:tcPr>
            <w:tcW w:w="3006"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71.51</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39</w:t>
            </w:r>
          </w:p>
        </w:tc>
        <w:tc>
          <w:tcPr>
            <w:tcW w:w="3006"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22.67</w:t>
            </w:r>
          </w:p>
        </w:tc>
      </w:tr>
    </w:tbl>
    <w:p w:rsidR="001E59CB" w:rsidRPr="0008214B" w:rsidRDefault="001E59CB" w:rsidP="00C52598">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1E59CB" w:rsidRPr="0008214B" w:rsidTr="00AE6E6E">
        <w:tc>
          <w:tcPr>
            <w:tcW w:w="3005" w:type="dxa"/>
            <w:shd w:val="clear" w:color="auto" w:fill="F2F2F2" w:themeFill="background1" w:themeFillShade="F2"/>
          </w:tcPr>
          <w:p w:rsidR="001E59CB" w:rsidRPr="0008214B" w:rsidRDefault="000E2FAA" w:rsidP="00AE6E6E">
            <w:pPr>
              <w:rPr>
                <w:color w:val="365F91" w:themeColor="accent1" w:themeShade="BF"/>
                <w:sz w:val="24"/>
                <w:szCs w:val="24"/>
              </w:rPr>
            </w:pPr>
            <w:r w:rsidRPr="0008214B">
              <w:rPr>
                <w:color w:val="365F91" w:themeColor="accent1" w:themeShade="BF"/>
                <w:sz w:val="24"/>
                <w:szCs w:val="24"/>
              </w:rPr>
              <w:t>Clinical cluster 6 (Medical and Dental: non-consultant career grades)</w:t>
            </w:r>
          </w:p>
        </w:tc>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Percentage</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3</w:t>
            </w:r>
          </w:p>
        </w:tc>
        <w:tc>
          <w:tcPr>
            <w:tcW w:w="3006"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5.00</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44</w:t>
            </w:r>
          </w:p>
        </w:tc>
        <w:tc>
          <w:tcPr>
            <w:tcW w:w="3006"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73.33</w:t>
            </w:r>
          </w:p>
        </w:tc>
      </w:tr>
      <w:tr w:rsidR="001E59CB" w:rsidRPr="0008214B" w:rsidTr="00AE6E6E">
        <w:tc>
          <w:tcPr>
            <w:tcW w:w="3005" w:type="dxa"/>
          </w:tcPr>
          <w:p w:rsidR="001E59CB" w:rsidRPr="0008214B" w:rsidRDefault="001E59CB"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13</w:t>
            </w:r>
          </w:p>
        </w:tc>
        <w:tc>
          <w:tcPr>
            <w:tcW w:w="3006" w:type="dxa"/>
          </w:tcPr>
          <w:p w:rsidR="001E59CB" w:rsidRPr="0008214B" w:rsidRDefault="00CA596F" w:rsidP="00AE6E6E">
            <w:pPr>
              <w:rPr>
                <w:color w:val="365F91" w:themeColor="accent1" w:themeShade="BF"/>
                <w:sz w:val="24"/>
                <w:szCs w:val="24"/>
              </w:rPr>
            </w:pPr>
            <w:r w:rsidRPr="0008214B">
              <w:rPr>
                <w:color w:val="365F91" w:themeColor="accent1" w:themeShade="BF"/>
                <w:sz w:val="24"/>
                <w:szCs w:val="24"/>
              </w:rPr>
              <w:t>21.67</w:t>
            </w:r>
          </w:p>
        </w:tc>
      </w:tr>
    </w:tbl>
    <w:p w:rsidR="001E59CB" w:rsidRPr="0008214B" w:rsidRDefault="001E59CB" w:rsidP="00C52598">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3005"/>
        <w:gridCol w:w="3005"/>
        <w:gridCol w:w="3006"/>
      </w:tblGrid>
      <w:tr w:rsidR="000E2FAA" w:rsidRPr="0008214B" w:rsidTr="00AE6E6E">
        <w:tc>
          <w:tcPr>
            <w:tcW w:w="3005" w:type="dxa"/>
            <w:shd w:val="clear" w:color="auto" w:fill="F2F2F2" w:themeFill="background1" w:themeFillShade="F2"/>
          </w:tcPr>
          <w:p w:rsidR="000E2FAA" w:rsidRPr="0008214B" w:rsidRDefault="000E2FAA" w:rsidP="00AE6E6E">
            <w:pPr>
              <w:rPr>
                <w:color w:val="365F91" w:themeColor="accent1" w:themeShade="BF"/>
                <w:sz w:val="24"/>
                <w:szCs w:val="24"/>
              </w:rPr>
            </w:pPr>
            <w:r w:rsidRPr="0008214B">
              <w:rPr>
                <w:color w:val="365F91" w:themeColor="accent1" w:themeShade="BF"/>
                <w:sz w:val="24"/>
                <w:szCs w:val="24"/>
              </w:rPr>
              <w:t>Clinical cluster 7 (Medical and Dental: trainee grades)</w:t>
            </w:r>
          </w:p>
        </w:tc>
        <w:tc>
          <w:tcPr>
            <w:tcW w:w="3005" w:type="dxa"/>
          </w:tcPr>
          <w:p w:rsidR="000E2FAA" w:rsidRPr="0008214B" w:rsidRDefault="000E2FAA" w:rsidP="00AE6E6E">
            <w:pPr>
              <w:rPr>
                <w:color w:val="365F91" w:themeColor="accent1" w:themeShade="BF"/>
                <w:sz w:val="24"/>
                <w:szCs w:val="24"/>
              </w:rPr>
            </w:pPr>
            <w:r w:rsidRPr="0008214B">
              <w:rPr>
                <w:color w:val="365F91" w:themeColor="accent1" w:themeShade="BF"/>
                <w:sz w:val="24"/>
                <w:szCs w:val="24"/>
              </w:rPr>
              <w:t>Headcount</w:t>
            </w:r>
          </w:p>
        </w:tc>
        <w:tc>
          <w:tcPr>
            <w:tcW w:w="3006" w:type="dxa"/>
          </w:tcPr>
          <w:p w:rsidR="000E2FAA" w:rsidRPr="0008214B" w:rsidRDefault="000E2FAA" w:rsidP="00AE6E6E">
            <w:pPr>
              <w:rPr>
                <w:color w:val="365F91" w:themeColor="accent1" w:themeShade="BF"/>
                <w:sz w:val="24"/>
                <w:szCs w:val="24"/>
              </w:rPr>
            </w:pPr>
            <w:r w:rsidRPr="0008214B">
              <w:rPr>
                <w:color w:val="365F91" w:themeColor="accent1" w:themeShade="BF"/>
                <w:sz w:val="24"/>
                <w:szCs w:val="24"/>
              </w:rPr>
              <w:t>Percentage</w:t>
            </w:r>
          </w:p>
        </w:tc>
      </w:tr>
      <w:tr w:rsidR="000E2FAA" w:rsidRPr="0008214B" w:rsidTr="00AE6E6E">
        <w:tc>
          <w:tcPr>
            <w:tcW w:w="3005" w:type="dxa"/>
          </w:tcPr>
          <w:p w:rsidR="000E2FAA" w:rsidRPr="0008214B" w:rsidRDefault="000E2FAA" w:rsidP="00AE6E6E">
            <w:pPr>
              <w:rPr>
                <w:color w:val="365F91" w:themeColor="accent1" w:themeShade="BF"/>
                <w:sz w:val="24"/>
                <w:szCs w:val="24"/>
              </w:rPr>
            </w:pPr>
            <w:r w:rsidRPr="0008214B">
              <w:rPr>
                <w:color w:val="365F91" w:themeColor="accent1" w:themeShade="BF"/>
                <w:sz w:val="24"/>
                <w:szCs w:val="24"/>
              </w:rPr>
              <w:t>Disabled</w:t>
            </w:r>
          </w:p>
        </w:tc>
        <w:tc>
          <w:tcPr>
            <w:tcW w:w="3005" w:type="dxa"/>
          </w:tcPr>
          <w:p w:rsidR="000E2FAA" w:rsidRPr="0008214B" w:rsidRDefault="00CA596F" w:rsidP="00AE6E6E">
            <w:pPr>
              <w:rPr>
                <w:color w:val="365F91" w:themeColor="accent1" w:themeShade="BF"/>
                <w:sz w:val="24"/>
                <w:szCs w:val="24"/>
              </w:rPr>
            </w:pPr>
            <w:r w:rsidRPr="0008214B">
              <w:rPr>
                <w:color w:val="365F91" w:themeColor="accent1" w:themeShade="BF"/>
                <w:sz w:val="24"/>
                <w:szCs w:val="24"/>
              </w:rPr>
              <w:t>8</w:t>
            </w:r>
          </w:p>
        </w:tc>
        <w:tc>
          <w:tcPr>
            <w:tcW w:w="3006" w:type="dxa"/>
          </w:tcPr>
          <w:p w:rsidR="000E2FAA" w:rsidRPr="0008214B" w:rsidRDefault="00CA596F" w:rsidP="00AE6E6E">
            <w:pPr>
              <w:rPr>
                <w:color w:val="365F91" w:themeColor="accent1" w:themeShade="BF"/>
                <w:sz w:val="24"/>
                <w:szCs w:val="24"/>
              </w:rPr>
            </w:pPr>
            <w:r w:rsidRPr="0008214B">
              <w:rPr>
                <w:color w:val="365F91" w:themeColor="accent1" w:themeShade="BF"/>
                <w:sz w:val="24"/>
                <w:szCs w:val="24"/>
              </w:rPr>
              <w:t>13.56</w:t>
            </w:r>
          </w:p>
        </w:tc>
      </w:tr>
      <w:tr w:rsidR="000E2FAA" w:rsidRPr="0008214B" w:rsidTr="00AE6E6E">
        <w:tc>
          <w:tcPr>
            <w:tcW w:w="3005" w:type="dxa"/>
          </w:tcPr>
          <w:p w:rsidR="000E2FAA" w:rsidRPr="0008214B" w:rsidRDefault="000E2FAA" w:rsidP="00AE6E6E">
            <w:pPr>
              <w:rPr>
                <w:color w:val="365F91" w:themeColor="accent1" w:themeShade="BF"/>
                <w:sz w:val="24"/>
                <w:szCs w:val="24"/>
              </w:rPr>
            </w:pPr>
            <w:r w:rsidRPr="0008214B">
              <w:rPr>
                <w:color w:val="365F91" w:themeColor="accent1" w:themeShade="BF"/>
                <w:sz w:val="24"/>
                <w:szCs w:val="24"/>
              </w:rPr>
              <w:t>Non-disabled</w:t>
            </w:r>
          </w:p>
        </w:tc>
        <w:tc>
          <w:tcPr>
            <w:tcW w:w="3005" w:type="dxa"/>
          </w:tcPr>
          <w:p w:rsidR="000E2FAA" w:rsidRPr="0008214B" w:rsidRDefault="00CA596F" w:rsidP="00AE6E6E">
            <w:pPr>
              <w:rPr>
                <w:color w:val="365F91" w:themeColor="accent1" w:themeShade="BF"/>
                <w:sz w:val="24"/>
                <w:szCs w:val="24"/>
              </w:rPr>
            </w:pPr>
            <w:r w:rsidRPr="0008214B">
              <w:rPr>
                <w:color w:val="365F91" w:themeColor="accent1" w:themeShade="BF"/>
                <w:sz w:val="24"/>
                <w:szCs w:val="24"/>
              </w:rPr>
              <w:t>37</w:t>
            </w:r>
          </w:p>
        </w:tc>
        <w:tc>
          <w:tcPr>
            <w:tcW w:w="3006" w:type="dxa"/>
          </w:tcPr>
          <w:p w:rsidR="000E2FAA" w:rsidRPr="0008214B" w:rsidRDefault="00CA596F" w:rsidP="00AE6E6E">
            <w:pPr>
              <w:rPr>
                <w:color w:val="365F91" w:themeColor="accent1" w:themeShade="BF"/>
                <w:sz w:val="24"/>
                <w:szCs w:val="24"/>
              </w:rPr>
            </w:pPr>
            <w:r w:rsidRPr="0008214B">
              <w:rPr>
                <w:color w:val="365F91" w:themeColor="accent1" w:themeShade="BF"/>
                <w:sz w:val="24"/>
                <w:szCs w:val="24"/>
              </w:rPr>
              <w:t>62.72</w:t>
            </w:r>
          </w:p>
        </w:tc>
      </w:tr>
      <w:tr w:rsidR="000E2FAA" w:rsidRPr="0008214B" w:rsidTr="00AE6E6E">
        <w:tc>
          <w:tcPr>
            <w:tcW w:w="3005" w:type="dxa"/>
          </w:tcPr>
          <w:p w:rsidR="000E2FAA" w:rsidRPr="0008214B" w:rsidRDefault="000E2FAA" w:rsidP="00AE6E6E">
            <w:pPr>
              <w:rPr>
                <w:color w:val="365F91" w:themeColor="accent1" w:themeShade="BF"/>
                <w:sz w:val="24"/>
                <w:szCs w:val="24"/>
              </w:rPr>
            </w:pPr>
            <w:r w:rsidRPr="0008214B">
              <w:rPr>
                <w:color w:val="365F91" w:themeColor="accent1" w:themeShade="BF"/>
                <w:sz w:val="24"/>
                <w:szCs w:val="24"/>
              </w:rPr>
              <w:t>Unknown</w:t>
            </w:r>
          </w:p>
        </w:tc>
        <w:tc>
          <w:tcPr>
            <w:tcW w:w="3005" w:type="dxa"/>
          </w:tcPr>
          <w:p w:rsidR="000E2FAA" w:rsidRPr="0008214B" w:rsidRDefault="00CA596F" w:rsidP="00AE6E6E">
            <w:pPr>
              <w:rPr>
                <w:color w:val="365F91" w:themeColor="accent1" w:themeShade="BF"/>
                <w:sz w:val="24"/>
                <w:szCs w:val="24"/>
              </w:rPr>
            </w:pPr>
            <w:r w:rsidRPr="0008214B">
              <w:rPr>
                <w:color w:val="365F91" w:themeColor="accent1" w:themeShade="BF"/>
                <w:sz w:val="24"/>
                <w:szCs w:val="24"/>
              </w:rPr>
              <w:t>14</w:t>
            </w:r>
          </w:p>
        </w:tc>
        <w:tc>
          <w:tcPr>
            <w:tcW w:w="3006" w:type="dxa"/>
          </w:tcPr>
          <w:p w:rsidR="000E2FAA" w:rsidRPr="0008214B" w:rsidRDefault="00CA596F" w:rsidP="00AE6E6E">
            <w:pPr>
              <w:rPr>
                <w:color w:val="365F91" w:themeColor="accent1" w:themeShade="BF"/>
                <w:sz w:val="24"/>
                <w:szCs w:val="24"/>
              </w:rPr>
            </w:pPr>
            <w:r w:rsidRPr="0008214B">
              <w:rPr>
                <w:color w:val="365F91" w:themeColor="accent1" w:themeShade="BF"/>
                <w:sz w:val="24"/>
                <w:szCs w:val="24"/>
              </w:rPr>
              <w:t>23.73</w:t>
            </w:r>
          </w:p>
        </w:tc>
      </w:tr>
    </w:tbl>
    <w:p w:rsidR="000E2FAA" w:rsidRPr="0008214B" w:rsidRDefault="000E2FAA" w:rsidP="00C52598">
      <w:pPr>
        <w:spacing w:after="0"/>
        <w:rPr>
          <w:color w:val="365F91" w:themeColor="accent1" w:themeShade="BF"/>
          <w:sz w:val="24"/>
          <w:szCs w:val="24"/>
        </w:rPr>
      </w:pPr>
    </w:p>
    <w:p w:rsidR="00811E58" w:rsidRPr="0008214B" w:rsidRDefault="00B6615A" w:rsidP="00E600DE">
      <w:pPr>
        <w:spacing w:after="0"/>
        <w:rPr>
          <w:color w:val="365F91" w:themeColor="accent1" w:themeShade="BF"/>
          <w:sz w:val="24"/>
          <w:szCs w:val="24"/>
        </w:rPr>
      </w:pPr>
      <w:r w:rsidRPr="0008214B">
        <w:rPr>
          <w:color w:val="365F91" w:themeColor="accent1" w:themeShade="BF"/>
          <w:sz w:val="24"/>
          <w:szCs w:val="24"/>
        </w:rPr>
        <w:t>What the data tells us:</w:t>
      </w:r>
    </w:p>
    <w:p w:rsidR="00B6615A" w:rsidRPr="0008214B" w:rsidRDefault="00AC3EF9" w:rsidP="00AC3EF9">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The percentage of staff sharing a disability on ESR has increased year on year since 2019, from 7.94% to 10.43%.</w:t>
      </w:r>
    </w:p>
    <w:p w:rsidR="00AC3EF9" w:rsidRPr="0008214B" w:rsidRDefault="00AC3EF9" w:rsidP="00AC3EF9">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Disabled staff a</w:t>
      </w:r>
      <w:r w:rsidR="0083358B" w:rsidRPr="0008214B">
        <w:rPr>
          <w:color w:val="365F91" w:themeColor="accent1" w:themeShade="BF"/>
          <w:sz w:val="24"/>
          <w:szCs w:val="24"/>
        </w:rPr>
        <w:t>re</w:t>
      </w:r>
      <w:r w:rsidRPr="0008214B">
        <w:rPr>
          <w:color w:val="365F91" w:themeColor="accent1" w:themeShade="BF"/>
          <w:sz w:val="24"/>
          <w:szCs w:val="24"/>
        </w:rPr>
        <w:t xml:space="preserve"> under-represented in non-clinical roles and over-represented in clinical roles, and </w:t>
      </w:r>
      <w:r w:rsidR="00110796" w:rsidRPr="0008214B">
        <w:rPr>
          <w:color w:val="365F91" w:themeColor="accent1" w:themeShade="BF"/>
          <w:sz w:val="24"/>
          <w:szCs w:val="24"/>
        </w:rPr>
        <w:t>over-represented in lower-banded roles.</w:t>
      </w:r>
    </w:p>
    <w:p w:rsidR="00110796" w:rsidRPr="0008214B" w:rsidRDefault="00110796" w:rsidP="00AC3EF9">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lastRenderedPageBreak/>
        <w:t>Disabled staff are markedly under-represented in non-clinical cluster 4 (5.45%), and clinical clusters 3 and 4 (6.65% and 2.27% respectively).</w:t>
      </w:r>
    </w:p>
    <w:p w:rsidR="00110796" w:rsidRPr="0008214B" w:rsidRDefault="00110796" w:rsidP="00AC3EF9">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Within the Medical and Dental subgroups, Disabled staff are over-represented at trainee grades (</w:t>
      </w:r>
      <w:r w:rsidR="003A00F9" w:rsidRPr="0008214B">
        <w:rPr>
          <w:color w:val="365F91" w:themeColor="accent1" w:themeShade="BF"/>
          <w:sz w:val="24"/>
          <w:szCs w:val="24"/>
        </w:rPr>
        <w:t>13.56%)</w:t>
      </w:r>
      <w:r w:rsidR="000146D3" w:rsidRPr="0008214B">
        <w:rPr>
          <w:color w:val="365F91" w:themeColor="accent1" w:themeShade="BF"/>
          <w:sz w:val="24"/>
          <w:szCs w:val="24"/>
        </w:rPr>
        <w:t xml:space="preserve"> compared to non-consultant grades and consultants (5.00% and 5.81% respectively).</w:t>
      </w:r>
    </w:p>
    <w:p w:rsidR="000146D3" w:rsidRPr="0008214B" w:rsidRDefault="000146D3" w:rsidP="000146D3">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Disability recording is lower throughout the Medical and Dental subgroups, with 21.67-23.73% of staff recorded as "Unknown" compared to 10.77% of the overall workforce.</w:t>
      </w:r>
    </w:p>
    <w:p w:rsidR="0008214B" w:rsidRDefault="0008214B" w:rsidP="0008214B">
      <w:pPr>
        <w:spacing w:after="0"/>
        <w:rPr>
          <w:color w:val="365F91" w:themeColor="accent1" w:themeShade="BF"/>
          <w:sz w:val="24"/>
          <w:szCs w:val="24"/>
        </w:rPr>
      </w:pPr>
    </w:p>
    <w:p w:rsidR="0083358B" w:rsidRPr="0008214B" w:rsidRDefault="0083358B" w:rsidP="0008214B">
      <w:pPr>
        <w:spacing w:after="0"/>
        <w:rPr>
          <w:color w:val="365F91" w:themeColor="accent1" w:themeShade="BF"/>
          <w:sz w:val="24"/>
          <w:szCs w:val="24"/>
        </w:rPr>
      </w:pPr>
      <w:r w:rsidRPr="0008214B">
        <w:rPr>
          <w:color w:val="365F91" w:themeColor="accent1" w:themeShade="BF"/>
          <w:sz w:val="24"/>
          <w:szCs w:val="24"/>
        </w:rPr>
        <w:t xml:space="preserve">This metric requires focused actions on the Trust's 2022 WDES action plan, as disability recording needs to be improved across the Trust, but specifically across senior clinical and senior Medical and Dental subgroup roles. </w:t>
      </w:r>
      <w:r w:rsidR="0008214B">
        <w:rPr>
          <w:color w:val="365F91" w:themeColor="accent1" w:themeShade="BF"/>
          <w:sz w:val="24"/>
          <w:szCs w:val="24"/>
        </w:rPr>
        <w:t>Actions will include working towards Level 3 Disability Confident Leader status, and a video and roadshow designed to increase self-recording, funded by the 2022/23 WDES Innovation Fund's Declaration Rates Award.</w:t>
      </w:r>
    </w:p>
    <w:p w:rsidR="000146D3" w:rsidRPr="0008214B" w:rsidRDefault="000146D3" w:rsidP="000146D3">
      <w:pPr>
        <w:spacing w:after="0"/>
        <w:rPr>
          <w:color w:val="365F91" w:themeColor="accent1" w:themeShade="BF"/>
          <w:sz w:val="24"/>
          <w:szCs w:val="24"/>
        </w:rPr>
      </w:pPr>
    </w:p>
    <w:p w:rsidR="000146D3" w:rsidRPr="0008214B" w:rsidRDefault="00E936C2" w:rsidP="000146D3">
      <w:pPr>
        <w:spacing w:after="0"/>
        <w:rPr>
          <w:color w:val="365F91" w:themeColor="accent1" w:themeShade="BF"/>
          <w:sz w:val="36"/>
          <w:szCs w:val="36"/>
        </w:rPr>
      </w:pPr>
      <w:r w:rsidRPr="0008214B">
        <w:rPr>
          <w:color w:val="365F91" w:themeColor="accent1" w:themeShade="BF"/>
          <w:sz w:val="36"/>
          <w:szCs w:val="36"/>
        </w:rPr>
        <w:t>Metric 2</w:t>
      </w:r>
    </w:p>
    <w:p w:rsidR="00E936C2" w:rsidRPr="0008214B" w:rsidRDefault="00E936C2" w:rsidP="00E936C2">
      <w:pPr>
        <w:spacing w:after="0"/>
        <w:rPr>
          <w:color w:val="365F91" w:themeColor="accent1" w:themeShade="BF"/>
          <w:sz w:val="24"/>
          <w:szCs w:val="24"/>
        </w:rPr>
      </w:pPr>
      <w:r w:rsidRPr="0008214B">
        <w:rPr>
          <w:color w:val="365F91" w:themeColor="accent1" w:themeShade="BF"/>
          <w:sz w:val="24"/>
          <w:szCs w:val="24"/>
        </w:rPr>
        <w:t>Relative likelihood of non-disabled staff compared to Disabled staff being appointed from shortlisting across all posts.</w:t>
      </w:r>
    </w:p>
    <w:p w:rsidR="00E936C2" w:rsidRPr="0008214B" w:rsidRDefault="00E936C2" w:rsidP="00E936C2">
      <w:pPr>
        <w:spacing w:after="0"/>
        <w:rPr>
          <w:color w:val="365F91" w:themeColor="accent1" w:themeShade="BF"/>
          <w:sz w:val="24"/>
          <w:szCs w:val="24"/>
        </w:rPr>
      </w:pPr>
    </w:p>
    <w:p w:rsidR="00E936C2" w:rsidRPr="0008214B" w:rsidRDefault="00E936C2" w:rsidP="00E936C2">
      <w:pPr>
        <w:spacing w:after="0"/>
        <w:rPr>
          <w:color w:val="365F91" w:themeColor="accent1" w:themeShade="BF"/>
          <w:sz w:val="24"/>
          <w:szCs w:val="24"/>
        </w:rPr>
      </w:pPr>
      <w:r w:rsidRPr="0008214B">
        <w:rPr>
          <w:color w:val="365F91" w:themeColor="accent1" w:themeShade="BF"/>
          <w:sz w:val="24"/>
          <w:szCs w:val="24"/>
        </w:rPr>
        <w:t>Note</w:t>
      </w:r>
      <w:r w:rsidR="00377272" w:rsidRPr="0008214B">
        <w:rPr>
          <w:color w:val="365F91" w:themeColor="accent1" w:themeShade="BF"/>
          <w:sz w:val="24"/>
          <w:szCs w:val="24"/>
        </w:rPr>
        <w:t>s</w:t>
      </w:r>
      <w:r w:rsidRPr="0008214B">
        <w:rPr>
          <w:color w:val="365F91" w:themeColor="accent1" w:themeShade="BF"/>
          <w:sz w:val="24"/>
          <w:szCs w:val="24"/>
        </w:rPr>
        <w:t>: this metric refers to both external and internal posts.</w:t>
      </w:r>
      <w:r w:rsidR="00377272" w:rsidRPr="0008214B">
        <w:rPr>
          <w:color w:val="365F91" w:themeColor="accent1" w:themeShade="BF"/>
          <w:sz w:val="24"/>
          <w:szCs w:val="24"/>
        </w:rPr>
        <w:t xml:space="preserve"> The data refers to the time period of 1</w:t>
      </w:r>
      <w:r w:rsidR="00377272" w:rsidRPr="0008214B">
        <w:rPr>
          <w:color w:val="365F91" w:themeColor="accent1" w:themeShade="BF"/>
          <w:sz w:val="24"/>
          <w:szCs w:val="24"/>
          <w:vertAlign w:val="superscript"/>
        </w:rPr>
        <w:t>st</w:t>
      </w:r>
      <w:r w:rsidR="00377272" w:rsidRPr="0008214B">
        <w:rPr>
          <w:color w:val="365F91" w:themeColor="accent1" w:themeShade="BF"/>
          <w:sz w:val="24"/>
          <w:szCs w:val="24"/>
        </w:rPr>
        <w:t xml:space="preserve"> April 2021 to 31</w:t>
      </w:r>
      <w:r w:rsidR="00377272" w:rsidRPr="0008214B">
        <w:rPr>
          <w:color w:val="365F91" w:themeColor="accent1" w:themeShade="BF"/>
          <w:sz w:val="24"/>
          <w:szCs w:val="24"/>
          <w:vertAlign w:val="superscript"/>
        </w:rPr>
        <w:t>st</w:t>
      </w:r>
      <w:r w:rsidR="00377272" w:rsidRPr="0008214B">
        <w:rPr>
          <w:color w:val="365F91" w:themeColor="accent1" w:themeShade="BF"/>
          <w:sz w:val="24"/>
          <w:szCs w:val="24"/>
        </w:rPr>
        <w:t xml:space="preserve"> March 2022.</w:t>
      </w:r>
    </w:p>
    <w:p w:rsidR="00B6615A" w:rsidRPr="0008214B" w:rsidRDefault="00B6615A"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419"/>
        <w:gridCol w:w="2089"/>
        <w:gridCol w:w="2254"/>
      </w:tblGrid>
      <w:tr w:rsidR="00E458E5" w:rsidRPr="0008214B" w:rsidTr="00A52CDD">
        <w:tc>
          <w:tcPr>
            <w:tcW w:w="2254" w:type="dxa"/>
            <w:shd w:val="clear" w:color="auto" w:fill="F2F2F2" w:themeFill="background1" w:themeFillShade="F2"/>
          </w:tcPr>
          <w:p w:rsidR="00E458E5" w:rsidRPr="0008214B" w:rsidRDefault="00E458E5" w:rsidP="00E600DE">
            <w:pPr>
              <w:rPr>
                <w:color w:val="365F91" w:themeColor="accent1" w:themeShade="BF"/>
                <w:sz w:val="24"/>
                <w:szCs w:val="24"/>
              </w:rPr>
            </w:pPr>
            <w:r w:rsidRPr="0008214B">
              <w:rPr>
                <w:color w:val="365F91" w:themeColor="accent1" w:themeShade="BF"/>
                <w:sz w:val="24"/>
                <w:szCs w:val="24"/>
              </w:rPr>
              <w:t>2022 recruitment breakdown</w:t>
            </w:r>
          </w:p>
        </w:tc>
        <w:tc>
          <w:tcPr>
            <w:tcW w:w="2419"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Number of shortlisted applicants</w:t>
            </w:r>
          </w:p>
        </w:tc>
        <w:tc>
          <w:tcPr>
            <w:tcW w:w="2089"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Number appointed from shortlisting</w:t>
            </w:r>
          </w:p>
        </w:tc>
        <w:tc>
          <w:tcPr>
            <w:tcW w:w="2254"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Likelihood of appointment</w:t>
            </w:r>
          </w:p>
        </w:tc>
      </w:tr>
      <w:tr w:rsidR="00E458E5" w:rsidRPr="0008214B" w:rsidTr="00244C17">
        <w:tc>
          <w:tcPr>
            <w:tcW w:w="2254"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Disabled</w:t>
            </w:r>
          </w:p>
        </w:tc>
        <w:tc>
          <w:tcPr>
            <w:tcW w:w="2419"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1,010</w:t>
            </w:r>
          </w:p>
        </w:tc>
        <w:tc>
          <w:tcPr>
            <w:tcW w:w="2089"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211</w:t>
            </w:r>
          </w:p>
        </w:tc>
        <w:tc>
          <w:tcPr>
            <w:tcW w:w="2254" w:type="dxa"/>
          </w:tcPr>
          <w:p w:rsidR="00E458E5" w:rsidRPr="0008214B" w:rsidRDefault="00A52CDD" w:rsidP="00E600DE">
            <w:pPr>
              <w:rPr>
                <w:color w:val="365F91" w:themeColor="accent1" w:themeShade="BF"/>
                <w:sz w:val="24"/>
                <w:szCs w:val="24"/>
              </w:rPr>
            </w:pPr>
            <w:r w:rsidRPr="0008214B">
              <w:rPr>
                <w:color w:val="365F91" w:themeColor="accent1" w:themeShade="BF"/>
                <w:sz w:val="24"/>
                <w:szCs w:val="24"/>
              </w:rPr>
              <w:t>0.21</w:t>
            </w:r>
          </w:p>
        </w:tc>
      </w:tr>
      <w:tr w:rsidR="00E458E5" w:rsidRPr="0008214B" w:rsidTr="00244C17">
        <w:tc>
          <w:tcPr>
            <w:tcW w:w="2254"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Non-disabled</w:t>
            </w:r>
          </w:p>
        </w:tc>
        <w:tc>
          <w:tcPr>
            <w:tcW w:w="2419"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9,476</w:t>
            </w:r>
          </w:p>
        </w:tc>
        <w:tc>
          <w:tcPr>
            <w:tcW w:w="2089"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1,816</w:t>
            </w:r>
          </w:p>
        </w:tc>
        <w:tc>
          <w:tcPr>
            <w:tcW w:w="2254" w:type="dxa"/>
          </w:tcPr>
          <w:p w:rsidR="00E458E5" w:rsidRPr="0008214B" w:rsidRDefault="00A52CDD" w:rsidP="00E600DE">
            <w:pPr>
              <w:rPr>
                <w:color w:val="365F91" w:themeColor="accent1" w:themeShade="BF"/>
                <w:sz w:val="24"/>
                <w:szCs w:val="24"/>
              </w:rPr>
            </w:pPr>
            <w:r w:rsidRPr="0008214B">
              <w:rPr>
                <w:color w:val="365F91" w:themeColor="accent1" w:themeShade="BF"/>
                <w:sz w:val="24"/>
                <w:szCs w:val="24"/>
              </w:rPr>
              <w:t>0.19</w:t>
            </w:r>
          </w:p>
        </w:tc>
      </w:tr>
      <w:tr w:rsidR="00E458E5" w:rsidRPr="0008214B" w:rsidTr="00244C17">
        <w:tc>
          <w:tcPr>
            <w:tcW w:w="2254"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Unknown</w:t>
            </w:r>
          </w:p>
        </w:tc>
        <w:tc>
          <w:tcPr>
            <w:tcW w:w="2419" w:type="dxa"/>
          </w:tcPr>
          <w:p w:rsidR="00E458E5" w:rsidRPr="0008214B" w:rsidRDefault="00244C17" w:rsidP="00E600DE">
            <w:pPr>
              <w:rPr>
                <w:color w:val="365F91" w:themeColor="accent1" w:themeShade="BF"/>
                <w:sz w:val="24"/>
                <w:szCs w:val="24"/>
              </w:rPr>
            </w:pPr>
            <w:r w:rsidRPr="0008214B">
              <w:rPr>
                <w:color w:val="365F91" w:themeColor="accent1" w:themeShade="BF"/>
                <w:sz w:val="24"/>
                <w:szCs w:val="24"/>
              </w:rPr>
              <w:t>213</w:t>
            </w:r>
          </w:p>
        </w:tc>
        <w:tc>
          <w:tcPr>
            <w:tcW w:w="2089" w:type="dxa"/>
          </w:tcPr>
          <w:p w:rsidR="00E458E5" w:rsidRPr="0008214B" w:rsidRDefault="00A52CDD" w:rsidP="00E600DE">
            <w:pPr>
              <w:rPr>
                <w:color w:val="365F91" w:themeColor="accent1" w:themeShade="BF"/>
                <w:sz w:val="24"/>
                <w:szCs w:val="24"/>
              </w:rPr>
            </w:pPr>
            <w:r w:rsidRPr="0008214B">
              <w:rPr>
                <w:color w:val="365F91" w:themeColor="accent1" w:themeShade="BF"/>
                <w:sz w:val="24"/>
                <w:szCs w:val="24"/>
              </w:rPr>
              <w:t>139</w:t>
            </w:r>
          </w:p>
        </w:tc>
        <w:tc>
          <w:tcPr>
            <w:tcW w:w="2254" w:type="dxa"/>
          </w:tcPr>
          <w:p w:rsidR="00E458E5" w:rsidRPr="0008214B" w:rsidRDefault="00A52CDD" w:rsidP="00E600DE">
            <w:pPr>
              <w:rPr>
                <w:color w:val="365F91" w:themeColor="accent1" w:themeShade="BF"/>
                <w:sz w:val="24"/>
                <w:szCs w:val="24"/>
              </w:rPr>
            </w:pPr>
            <w:r w:rsidRPr="0008214B">
              <w:rPr>
                <w:color w:val="365F91" w:themeColor="accent1" w:themeShade="BF"/>
                <w:sz w:val="24"/>
                <w:szCs w:val="24"/>
              </w:rPr>
              <w:t>0.65</w:t>
            </w:r>
          </w:p>
        </w:tc>
      </w:tr>
      <w:tr w:rsidR="00244C17" w:rsidRPr="0008214B" w:rsidTr="00244C17">
        <w:tc>
          <w:tcPr>
            <w:tcW w:w="2254" w:type="dxa"/>
          </w:tcPr>
          <w:p w:rsidR="00244C17" w:rsidRPr="0008214B" w:rsidRDefault="00244C17" w:rsidP="00E600DE">
            <w:pPr>
              <w:rPr>
                <w:color w:val="365F91" w:themeColor="accent1" w:themeShade="BF"/>
                <w:sz w:val="24"/>
                <w:szCs w:val="24"/>
              </w:rPr>
            </w:pPr>
            <w:r w:rsidRPr="0008214B">
              <w:rPr>
                <w:color w:val="365F91" w:themeColor="accent1" w:themeShade="BF"/>
                <w:sz w:val="24"/>
                <w:szCs w:val="24"/>
              </w:rPr>
              <w:t>Total</w:t>
            </w:r>
          </w:p>
        </w:tc>
        <w:tc>
          <w:tcPr>
            <w:tcW w:w="2419" w:type="dxa"/>
          </w:tcPr>
          <w:p w:rsidR="00244C17" w:rsidRPr="0008214B" w:rsidRDefault="00244C17" w:rsidP="00E600DE">
            <w:pPr>
              <w:rPr>
                <w:color w:val="365F91" w:themeColor="accent1" w:themeShade="BF"/>
                <w:sz w:val="24"/>
                <w:szCs w:val="24"/>
              </w:rPr>
            </w:pPr>
            <w:r w:rsidRPr="0008214B">
              <w:rPr>
                <w:color w:val="365F91" w:themeColor="accent1" w:themeShade="BF"/>
                <w:sz w:val="24"/>
                <w:szCs w:val="24"/>
              </w:rPr>
              <w:t>10,699</w:t>
            </w:r>
          </w:p>
        </w:tc>
        <w:tc>
          <w:tcPr>
            <w:tcW w:w="2089" w:type="dxa"/>
          </w:tcPr>
          <w:p w:rsidR="00244C17" w:rsidRPr="0008214B" w:rsidRDefault="00A52CDD" w:rsidP="00E600DE">
            <w:pPr>
              <w:rPr>
                <w:color w:val="365F91" w:themeColor="accent1" w:themeShade="BF"/>
                <w:sz w:val="24"/>
                <w:szCs w:val="24"/>
              </w:rPr>
            </w:pPr>
            <w:r w:rsidRPr="0008214B">
              <w:rPr>
                <w:color w:val="365F91" w:themeColor="accent1" w:themeShade="BF"/>
                <w:sz w:val="24"/>
                <w:szCs w:val="24"/>
              </w:rPr>
              <w:t>2,166</w:t>
            </w:r>
          </w:p>
        </w:tc>
        <w:tc>
          <w:tcPr>
            <w:tcW w:w="2254" w:type="dxa"/>
          </w:tcPr>
          <w:p w:rsidR="00244C17" w:rsidRPr="0008214B" w:rsidRDefault="00244C17" w:rsidP="00E600DE">
            <w:pPr>
              <w:rPr>
                <w:color w:val="365F91" w:themeColor="accent1" w:themeShade="BF"/>
                <w:sz w:val="24"/>
                <w:szCs w:val="24"/>
              </w:rPr>
            </w:pPr>
          </w:p>
        </w:tc>
      </w:tr>
    </w:tbl>
    <w:p w:rsidR="00E936C2" w:rsidRPr="0008214B" w:rsidRDefault="00E936C2" w:rsidP="00E600DE">
      <w:pPr>
        <w:spacing w:after="0"/>
        <w:rPr>
          <w:color w:val="365F91" w:themeColor="accent1" w:themeShade="BF"/>
          <w:sz w:val="24"/>
          <w:szCs w:val="24"/>
        </w:rPr>
      </w:pPr>
    </w:p>
    <w:p w:rsidR="00E936C2" w:rsidRPr="0008214B" w:rsidRDefault="00A52CDD" w:rsidP="00E600DE">
      <w:pPr>
        <w:spacing w:after="0"/>
        <w:rPr>
          <w:color w:val="365F91" w:themeColor="accent1" w:themeShade="BF"/>
          <w:sz w:val="24"/>
          <w:szCs w:val="24"/>
        </w:rPr>
      </w:pPr>
      <w:r w:rsidRPr="0008214B">
        <w:rPr>
          <w:color w:val="365F91" w:themeColor="accent1" w:themeShade="BF"/>
          <w:sz w:val="24"/>
          <w:szCs w:val="24"/>
        </w:rPr>
        <w:t>What the data tells us:</w:t>
      </w:r>
    </w:p>
    <w:p w:rsidR="00A52CDD" w:rsidRPr="0008214B" w:rsidRDefault="00A52CDD" w:rsidP="00A52CDD">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The relative likelihood of non-disabled staff being appointed from shortlisting compared to Disabled staff is 0.92.</w:t>
      </w:r>
    </w:p>
    <w:p w:rsidR="00A52CDD" w:rsidRDefault="00A52CDD" w:rsidP="00A52CDD">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Shortlisted applicants who have not shared their disability information - either as Disabled or non-disabled - are 3.25 times as likely to be appointed, which requires further investigation.</w:t>
      </w:r>
    </w:p>
    <w:p w:rsidR="0048477A" w:rsidRDefault="0048477A" w:rsidP="0048477A">
      <w:pPr>
        <w:spacing w:after="0"/>
        <w:rPr>
          <w:color w:val="365F91" w:themeColor="accent1" w:themeShade="BF"/>
          <w:sz w:val="24"/>
          <w:szCs w:val="24"/>
        </w:rPr>
      </w:pPr>
    </w:p>
    <w:p w:rsidR="0048477A" w:rsidRPr="0048477A" w:rsidRDefault="0048477A" w:rsidP="0048477A">
      <w:pPr>
        <w:spacing w:after="0"/>
        <w:rPr>
          <w:color w:val="365F91" w:themeColor="accent1" w:themeShade="BF"/>
          <w:sz w:val="24"/>
          <w:szCs w:val="24"/>
        </w:rPr>
      </w:pPr>
      <w:r>
        <w:rPr>
          <w:color w:val="365F91" w:themeColor="accent1" w:themeShade="BF"/>
          <w:sz w:val="24"/>
          <w:szCs w:val="24"/>
        </w:rPr>
        <w:t xml:space="preserve">The Trust is performing well against this metric, in line with its 2022/23 breakthrough objective to recruit more people with lived experience across the organisation. We will build on this success with a number of actions on our 2022 WDES action plan, including a revision of our standard job adverts, job description templates and Recruitment and Selection Policy, </w:t>
      </w:r>
      <w:r>
        <w:rPr>
          <w:color w:val="365F91" w:themeColor="accent1" w:themeShade="BF"/>
          <w:sz w:val="24"/>
          <w:szCs w:val="24"/>
        </w:rPr>
        <w:lastRenderedPageBreak/>
        <w:t>and the development of supporting job packs and interview processes for lived experience and peer support roles.</w:t>
      </w:r>
    </w:p>
    <w:p w:rsidR="00A52CDD" w:rsidRPr="0008214B" w:rsidRDefault="00A52CDD" w:rsidP="00E600DE">
      <w:pPr>
        <w:spacing w:after="0"/>
        <w:rPr>
          <w:color w:val="365F91" w:themeColor="accent1" w:themeShade="BF"/>
          <w:sz w:val="24"/>
          <w:szCs w:val="24"/>
        </w:rPr>
      </w:pPr>
    </w:p>
    <w:p w:rsidR="00A52CDD" w:rsidRPr="0008214B" w:rsidRDefault="00A52CDD" w:rsidP="00E600DE">
      <w:pPr>
        <w:spacing w:after="0"/>
        <w:rPr>
          <w:color w:val="365F91" w:themeColor="accent1" w:themeShade="BF"/>
          <w:sz w:val="36"/>
          <w:szCs w:val="36"/>
        </w:rPr>
      </w:pPr>
      <w:r w:rsidRPr="0008214B">
        <w:rPr>
          <w:color w:val="365F91" w:themeColor="accent1" w:themeShade="BF"/>
          <w:sz w:val="36"/>
          <w:szCs w:val="36"/>
        </w:rPr>
        <w:t>Metric 3</w:t>
      </w:r>
    </w:p>
    <w:p w:rsidR="00A52CDD" w:rsidRPr="0008214B" w:rsidRDefault="00A52CDD" w:rsidP="00A52CDD">
      <w:pPr>
        <w:spacing w:after="0"/>
        <w:rPr>
          <w:color w:val="365F91" w:themeColor="accent1" w:themeShade="BF"/>
          <w:sz w:val="24"/>
          <w:szCs w:val="24"/>
        </w:rPr>
      </w:pPr>
      <w:r w:rsidRPr="0008214B">
        <w:rPr>
          <w:color w:val="365F91" w:themeColor="accent1" w:themeShade="BF"/>
          <w:sz w:val="24"/>
          <w:szCs w:val="24"/>
        </w:rPr>
        <w:t>Relative likelihood of Disabled staff compared to non-disabled staff entering the formal capability process, as measured by entry into the formal capability procedure.</w:t>
      </w:r>
    </w:p>
    <w:p w:rsidR="00A52CDD" w:rsidRPr="0008214B" w:rsidRDefault="00A52CDD" w:rsidP="00A52CDD">
      <w:pPr>
        <w:spacing w:after="0"/>
        <w:rPr>
          <w:color w:val="365F91" w:themeColor="accent1" w:themeShade="BF"/>
          <w:sz w:val="24"/>
          <w:szCs w:val="24"/>
        </w:rPr>
      </w:pPr>
    </w:p>
    <w:p w:rsidR="00A52CDD" w:rsidRPr="0008214B" w:rsidRDefault="00A52CDD" w:rsidP="00A52CDD">
      <w:pPr>
        <w:spacing w:after="0"/>
        <w:rPr>
          <w:color w:val="365F91" w:themeColor="accent1" w:themeShade="BF"/>
          <w:sz w:val="24"/>
          <w:szCs w:val="24"/>
        </w:rPr>
      </w:pPr>
      <w:r w:rsidRPr="0008214B">
        <w:rPr>
          <w:color w:val="365F91" w:themeColor="accent1" w:themeShade="BF"/>
          <w:sz w:val="24"/>
          <w:szCs w:val="24"/>
        </w:rPr>
        <w:t>Note</w:t>
      </w:r>
      <w:r w:rsidR="00377272" w:rsidRPr="0008214B">
        <w:rPr>
          <w:color w:val="365F91" w:themeColor="accent1" w:themeShade="BF"/>
          <w:sz w:val="24"/>
          <w:szCs w:val="24"/>
        </w:rPr>
        <w:t>s</w:t>
      </w:r>
      <w:r w:rsidRPr="0008214B">
        <w:rPr>
          <w:color w:val="365F91" w:themeColor="accent1" w:themeShade="BF"/>
          <w:sz w:val="24"/>
          <w:szCs w:val="24"/>
        </w:rPr>
        <w:t>: this metric was mandated in 2020</w:t>
      </w:r>
      <w:r w:rsidR="00377272" w:rsidRPr="0008214B">
        <w:rPr>
          <w:color w:val="365F91" w:themeColor="accent1" w:themeShade="BF"/>
          <w:sz w:val="24"/>
          <w:szCs w:val="24"/>
        </w:rPr>
        <w:t xml:space="preserve">. It </w:t>
      </w:r>
      <w:r w:rsidRPr="0008214B">
        <w:rPr>
          <w:color w:val="365F91" w:themeColor="accent1" w:themeShade="BF"/>
          <w:sz w:val="24"/>
          <w:szCs w:val="24"/>
        </w:rPr>
        <w:t>is based on data from a two-year rolling average of the current year and the previous year</w:t>
      </w:r>
      <w:r w:rsidR="00377272" w:rsidRPr="0008214B">
        <w:rPr>
          <w:color w:val="365F91" w:themeColor="accent1" w:themeShade="BF"/>
          <w:sz w:val="24"/>
          <w:szCs w:val="24"/>
        </w:rPr>
        <w:t>, i.e. 1</w:t>
      </w:r>
      <w:r w:rsidR="00377272" w:rsidRPr="0008214B">
        <w:rPr>
          <w:color w:val="365F91" w:themeColor="accent1" w:themeShade="BF"/>
          <w:sz w:val="24"/>
          <w:szCs w:val="24"/>
          <w:vertAlign w:val="superscript"/>
        </w:rPr>
        <w:t>st</w:t>
      </w:r>
      <w:r w:rsidR="00377272" w:rsidRPr="0008214B">
        <w:rPr>
          <w:color w:val="365F91" w:themeColor="accent1" w:themeShade="BF"/>
          <w:sz w:val="24"/>
          <w:szCs w:val="24"/>
        </w:rPr>
        <w:t xml:space="preserve"> April 2020 to 31</w:t>
      </w:r>
      <w:r w:rsidR="00377272" w:rsidRPr="0008214B">
        <w:rPr>
          <w:color w:val="365F91" w:themeColor="accent1" w:themeShade="BF"/>
          <w:sz w:val="24"/>
          <w:szCs w:val="24"/>
          <w:vertAlign w:val="superscript"/>
        </w:rPr>
        <w:t>st</w:t>
      </w:r>
      <w:r w:rsidR="00377272" w:rsidRPr="0008214B">
        <w:rPr>
          <w:color w:val="365F91" w:themeColor="accent1" w:themeShade="BF"/>
          <w:sz w:val="24"/>
          <w:szCs w:val="24"/>
        </w:rPr>
        <w:t xml:space="preserve"> March 2021 and 1</w:t>
      </w:r>
      <w:r w:rsidR="00377272" w:rsidRPr="0008214B">
        <w:rPr>
          <w:color w:val="365F91" w:themeColor="accent1" w:themeShade="BF"/>
          <w:sz w:val="24"/>
          <w:szCs w:val="24"/>
          <w:vertAlign w:val="superscript"/>
        </w:rPr>
        <w:t>st</w:t>
      </w:r>
      <w:r w:rsidR="00377272" w:rsidRPr="0008214B">
        <w:rPr>
          <w:color w:val="365F91" w:themeColor="accent1" w:themeShade="BF"/>
          <w:sz w:val="24"/>
          <w:szCs w:val="24"/>
        </w:rPr>
        <w:t xml:space="preserve"> April 2021 to 31</w:t>
      </w:r>
      <w:r w:rsidR="00377272" w:rsidRPr="0008214B">
        <w:rPr>
          <w:color w:val="365F91" w:themeColor="accent1" w:themeShade="BF"/>
          <w:sz w:val="24"/>
          <w:szCs w:val="24"/>
          <w:vertAlign w:val="superscript"/>
        </w:rPr>
        <w:t>st</w:t>
      </w:r>
      <w:r w:rsidR="00377272" w:rsidRPr="0008214B">
        <w:rPr>
          <w:color w:val="365F91" w:themeColor="accent1" w:themeShade="BF"/>
          <w:sz w:val="24"/>
          <w:szCs w:val="24"/>
        </w:rPr>
        <w:t xml:space="preserve"> March 2022.</w:t>
      </w:r>
    </w:p>
    <w:p w:rsidR="00377272" w:rsidRPr="0008214B" w:rsidRDefault="00377272" w:rsidP="00A52CDD">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803"/>
        <w:gridCol w:w="1594"/>
        <w:gridCol w:w="1985"/>
        <w:gridCol w:w="1559"/>
        <w:gridCol w:w="2075"/>
      </w:tblGrid>
      <w:tr w:rsidR="000E53A2" w:rsidRPr="0008214B" w:rsidTr="00AB118C">
        <w:tc>
          <w:tcPr>
            <w:tcW w:w="1803" w:type="dxa"/>
            <w:shd w:val="clear" w:color="auto" w:fill="F2F2F2" w:themeFill="background1" w:themeFillShade="F2"/>
          </w:tcPr>
          <w:p w:rsidR="000E53A2" w:rsidRPr="0008214B" w:rsidRDefault="000E53A2" w:rsidP="00A52CDD">
            <w:pPr>
              <w:rPr>
                <w:color w:val="365F91" w:themeColor="accent1" w:themeShade="BF"/>
                <w:sz w:val="24"/>
                <w:szCs w:val="24"/>
              </w:rPr>
            </w:pPr>
            <w:r w:rsidRPr="0008214B">
              <w:rPr>
                <w:color w:val="365F91" w:themeColor="accent1" w:themeShade="BF"/>
                <w:sz w:val="24"/>
                <w:szCs w:val="24"/>
              </w:rPr>
              <w:t>2022 capability breakdown</w:t>
            </w:r>
          </w:p>
        </w:tc>
        <w:tc>
          <w:tcPr>
            <w:tcW w:w="1594" w:type="dxa"/>
          </w:tcPr>
          <w:p w:rsidR="000E53A2" w:rsidRPr="0008214B" w:rsidRDefault="000E53A2" w:rsidP="00A52CDD">
            <w:pPr>
              <w:rPr>
                <w:color w:val="365F91" w:themeColor="accent1" w:themeShade="BF"/>
                <w:sz w:val="24"/>
                <w:szCs w:val="24"/>
              </w:rPr>
            </w:pPr>
            <w:r w:rsidRPr="0008214B">
              <w:rPr>
                <w:color w:val="365F91" w:themeColor="accent1" w:themeShade="BF"/>
                <w:sz w:val="24"/>
                <w:szCs w:val="24"/>
              </w:rPr>
              <w:t>Workforce total</w:t>
            </w:r>
          </w:p>
        </w:tc>
        <w:tc>
          <w:tcPr>
            <w:tcW w:w="1985"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Average entering capability</w:t>
            </w:r>
          </w:p>
        </w:tc>
        <w:tc>
          <w:tcPr>
            <w:tcW w:w="1559"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Average on ill health alone</w:t>
            </w:r>
          </w:p>
        </w:tc>
        <w:tc>
          <w:tcPr>
            <w:tcW w:w="2075"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Likelihood of entering capability</w:t>
            </w:r>
          </w:p>
        </w:tc>
      </w:tr>
      <w:tr w:rsidR="000E53A2" w:rsidRPr="0008214B" w:rsidTr="00AB118C">
        <w:tc>
          <w:tcPr>
            <w:tcW w:w="1803" w:type="dxa"/>
          </w:tcPr>
          <w:p w:rsidR="000E53A2" w:rsidRPr="0008214B" w:rsidRDefault="000E53A2" w:rsidP="00A52CDD">
            <w:pPr>
              <w:rPr>
                <w:color w:val="365F91" w:themeColor="accent1" w:themeShade="BF"/>
                <w:sz w:val="24"/>
                <w:szCs w:val="24"/>
              </w:rPr>
            </w:pPr>
            <w:r w:rsidRPr="0008214B">
              <w:rPr>
                <w:color w:val="365F91" w:themeColor="accent1" w:themeShade="BF"/>
                <w:sz w:val="24"/>
                <w:szCs w:val="24"/>
              </w:rPr>
              <w:t>Disabled</w:t>
            </w:r>
          </w:p>
        </w:tc>
        <w:tc>
          <w:tcPr>
            <w:tcW w:w="1594" w:type="dxa"/>
          </w:tcPr>
          <w:p w:rsidR="000E53A2" w:rsidRPr="0008214B" w:rsidRDefault="00EA3968" w:rsidP="00A52CDD">
            <w:pPr>
              <w:rPr>
                <w:color w:val="365F91" w:themeColor="accent1" w:themeShade="BF"/>
                <w:sz w:val="24"/>
                <w:szCs w:val="24"/>
              </w:rPr>
            </w:pPr>
            <w:r w:rsidRPr="0008214B">
              <w:rPr>
                <w:color w:val="365F91" w:themeColor="accent1" w:themeShade="BF"/>
                <w:sz w:val="24"/>
                <w:szCs w:val="24"/>
              </w:rPr>
              <w:t>592</w:t>
            </w:r>
          </w:p>
        </w:tc>
        <w:tc>
          <w:tcPr>
            <w:tcW w:w="1985"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3</w:t>
            </w:r>
          </w:p>
        </w:tc>
        <w:tc>
          <w:tcPr>
            <w:tcW w:w="1559"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0.5</w:t>
            </w:r>
          </w:p>
        </w:tc>
        <w:tc>
          <w:tcPr>
            <w:tcW w:w="2075"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0.004223</w:t>
            </w:r>
          </w:p>
        </w:tc>
      </w:tr>
      <w:tr w:rsidR="000E53A2" w:rsidRPr="0008214B" w:rsidTr="00AB118C">
        <w:tc>
          <w:tcPr>
            <w:tcW w:w="1803" w:type="dxa"/>
          </w:tcPr>
          <w:p w:rsidR="000E53A2" w:rsidRPr="0008214B" w:rsidRDefault="000E53A2" w:rsidP="00A52CDD">
            <w:pPr>
              <w:rPr>
                <w:color w:val="365F91" w:themeColor="accent1" w:themeShade="BF"/>
                <w:sz w:val="24"/>
                <w:szCs w:val="24"/>
              </w:rPr>
            </w:pPr>
            <w:r w:rsidRPr="0008214B">
              <w:rPr>
                <w:color w:val="365F91" w:themeColor="accent1" w:themeShade="BF"/>
                <w:sz w:val="24"/>
                <w:szCs w:val="24"/>
              </w:rPr>
              <w:t>Non-disabled</w:t>
            </w:r>
          </w:p>
        </w:tc>
        <w:tc>
          <w:tcPr>
            <w:tcW w:w="1594"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4,472</w:t>
            </w:r>
          </w:p>
        </w:tc>
        <w:tc>
          <w:tcPr>
            <w:tcW w:w="1985"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11.5</w:t>
            </w:r>
          </w:p>
        </w:tc>
        <w:tc>
          <w:tcPr>
            <w:tcW w:w="1559"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5</w:t>
            </w:r>
          </w:p>
        </w:tc>
        <w:tc>
          <w:tcPr>
            <w:tcW w:w="2075"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0.001453</w:t>
            </w:r>
          </w:p>
        </w:tc>
      </w:tr>
      <w:tr w:rsidR="000E53A2" w:rsidRPr="0008214B" w:rsidTr="00AB118C">
        <w:tc>
          <w:tcPr>
            <w:tcW w:w="1803" w:type="dxa"/>
          </w:tcPr>
          <w:p w:rsidR="000E53A2" w:rsidRPr="0008214B" w:rsidRDefault="000E53A2" w:rsidP="00A52CDD">
            <w:pPr>
              <w:rPr>
                <w:color w:val="365F91" w:themeColor="accent1" w:themeShade="BF"/>
                <w:sz w:val="24"/>
                <w:szCs w:val="24"/>
              </w:rPr>
            </w:pPr>
            <w:r w:rsidRPr="0008214B">
              <w:rPr>
                <w:color w:val="365F91" w:themeColor="accent1" w:themeShade="BF"/>
                <w:sz w:val="24"/>
                <w:szCs w:val="24"/>
              </w:rPr>
              <w:t>Unknown</w:t>
            </w:r>
          </w:p>
        </w:tc>
        <w:tc>
          <w:tcPr>
            <w:tcW w:w="1594"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611</w:t>
            </w:r>
          </w:p>
        </w:tc>
        <w:tc>
          <w:tcPr>
            <w:tcW w:w="1985"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1</w:t>
            </w:r>
          </w:p>
        </w:tc>
        <w:tc>
          <w:tcPr>
            <w:tcW w:w="1559"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0</w:t>
            </w:r>
          </w:p>
        </w:tc>
        <w:tc>
          <w:tcPr>
            <w:tcW w:w="2075" w:type="dxa"/>
          </w:tcPr>
          <w:p w:rsidR="000E53A2" w:rsidRPr="0008214B" w:rsidRDefault="00AB118C" w:rsidP="00A52CDD">
            <w:pPr>
              <w:rPr>
                <w:color w:val="365F91" w:themeColor="accent1" w:themeShade="BF"/>
                <w:sz w:val="24"/>
                <w:szCs w:val="24"/>
              </w:rPr>
            </w:pPr>
            <w:r w:rsidRPr="0008214B">
              <w:rPr>
                <w:color w:val="365F91" w:themeColor="accent1" w:themeShade="BF"/>
                <w:sz w:val="24"/>
                <w:szCs w:val="24"/>
              </w:rPr>
              <w:t>0.001637</w:t>
            </w:r>
          </w:p>
        </w:tc>
      </w:tr>
    </w:tbl>
    <w:p w:rsidR="00377272" w:rsidRPr="0008214B" w:rsidRDefault="00377272" w:rsidP="00A52CDD">
      <w:pPr>
        <w:spacing w:after="0"/>
        <w:rPr>
          <w:color w:val="365F91" w:themeColor="accent1" w:themeShade="BF"/>
          <w:sz w:val="24"/>
          <w:szCs w:val="24"/>
        </w:rPr>
      </w:pPr>
    </w:p>
    <w:p w:rsidR="00A52CDD" w:rsidRPr="0008214B" w:rsidRDefault="00AB118C" w:rsidP="00E600DE">
      <w:pPr>
        <w:spacing w:after="0"/>
        <w:rPr>
          <w:color w:val="365F91" w:themeColor="accent1" w:themeShade="BF"/>
          <w:sz w:val="24"/>
          <w:szCs w:val="24"/>
        </w:rPr>
      </w:pPr>
      <w:r w:rsidRPr="0008214B">
        <w:rPr>
          <w:color w:val="365F91" w:themeColor="accent1" w:themeShade="BF"/>
          <w:sz w:val="24"/>
          <w:szCs w:val="24"/>
        </w:rPr>
        <w:t>What the data tells us:</w:t>
      </w:r>
    </w:p>
    <w:p w:rsidR="0083358B" w:rsidRPr="0008214B" w:rsidRDefault="00AB118C" w:rsidP="00AB118C">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The relative likelihood of Disabled staff entering the formal capability process compared to non-disabled staff, discounting those entering on the grounds of ill health alone, is 2.91.</w:t>
      </w:r>
    </w:p>
    <w:p w:rsidR="00AB118C" w:rsidRDefault="0083358B" w:rsidP="00AB118C">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This is a</w:t>
      </w:r>
      <w:r w:rsidR="00103B8A" w:rsidRPr="0008214B">
        <w:rPr>
          <w:color w:val="365F91" w:themeColor="accent1" w:themeShade="BF"/>
          <w:sz w:val="24"/>
          <w:szCs w:val="24"/>
        </w:rPr>
        <w:t xml:space="preserve"> decrease</w:t>
      </w:r>
      <w:r w:rsidRPr="0008214B">
        <w:rPr>
          <w:color w:val="365F91" w:themeColor="accent1" w:themeShade="BF"/>
          <w:sz w:val="24"/>
          <w:szCs w:val="24"/>
        </w:rPr>
        <w:t xml:space="preserve"> from the 2021 report's relative likelihood of 3.46, but this metric still requires focused actions on the Trust's 2022 WDES action plan.</w:t>
      </w:r>
    </w:p>
    <w:p w:rsidR="00332E55" w:rsidRDefault="00332E55" w:rsidP="00332E55">
      <w:pPr>
        <w:spacing w:after="0"/>
        <w:rPr>
          <w:color w:val="365F91" w:themeColor="accent1" w:themeShade="BF"/>
          <w:sz w:val="24"/>
          <w:szCs w:val="24"/>
        </w:rPr>
      </w:pPr>
    </w:p>
    <w:p w:rsidR="00332E55" w:rsidRPr="00332E55" w:rsidRDefault="00332E55" w:rsidP="00332E55">
      <w:pPr>
        <w:spacing w:after="0"/>
        <w:rPr>
          <w:color w:val="365F91" w:themeColor="accent1" w:themeShade="BF"/>
          <w:sz w:val="24"/>
          <w:szCs w:val="24"/>
        </w:rPr>
      </w:pPr>
      <w:r w:rsidRPr="0008214B">
        <w:rPr>
          <w:color w:val="365F91" w:themeColor="accent1" w:themeShade="BF"/>
          <w:sz w:val="24"/>
          <w:szCs w:val="24"/>
        </w:rPr>
        <w:t xml:space="preserve">This metric </w:t>
      </w:r>
      <w:r>
        <w:rPr>
          <w:color w:val="365F91" w:themeColor="accent1" w:themeShade="BF"/>
          <w:sz w:val="24"/>
          <w:szCs w:val="24"/>
        </w:rPr>
        <w:t>will be given</w:t>
      </w:r>
      <w:r w:rsidRPr="0008214B">
        <w:rPr>
          <w:color w:val="365F91" w:themeColor="accent1" w:themeShade="BF"/>
          <w:sz w:val="24"/>
          <w:szCs w:val="24"/>
        </w:rPr>
        <w:t xml:space="preserve"> focused actions on the Trust's 2022 WDES action plan</w:t>
      </w:r>
      <w:r>
        <w:rPr>
          <w:color w:val="365F91" w:themeColor="accent1" w:themeShade="BF"/>
          <w:sz w:val="24"/>
          <w:szCs w:val="24"/>
        </w:rPr>
        <w:t xml:space="preserve">, including case reviews, data analysis, and delivery of </w:t>
      </w:r>
      <w:r w:rsidR="00D6344A">
        <w:rPr>
          <w:color w:val="365F91" w:themeColor="accent1" w:themeShade="BF"/>
          <w:sz w:val="24"/>
          <w:szCs w:val="24"/>
        </w:rPr>
        <w:t>mediation training, unconscious bias training, and disability awareness training via Scope's Get Inclusive programme.</w:t>
      </w:r>
    </w:p>
    <w:p w:rsidR="00103B8A" w:rsidRPr="0008214B" w:rsidRDefault="00103B8A" w:rsidP="00103B8A">
      <w:pPr>
        <w:spacing w:after="0"/>
        <w:rPr>
          <w:color w:val="365F91" w:themeColor="accent1" w:themeShade="BF"/>
          <w:sz w:val="24"/>
          <w:szCs w:val="24"/>
        </w:rPr>
      </w:pPr>
    </w:p>
    <w:p w:rsidR="00103B8A" w:rsidRPr="0008214B" w:rsidRDefault="00103B8A" w:rsidP="00103B8A">
      <w:pPr>
        <w:spacing w:after="0"/>
        <w:rPr>
          <w:color w:val="365F91" w:themeColor="accent1" w:themeShade="BF"/>
          <w:sz w:val="36"/>
          <w:szCs w:val="36"/>
        </w:rPr>
      </w:pPr>
      <w:r w:rsidRPr="0008214B">
        <w:rPr>
          <w:color w:val="365F91" w:themeColor="accent1" w:themeShade="BF"/>
          <w:sz w:val="36"/>
          <w:szCs w:val="36"/>
        </w:rPr>
        <w:t>Metrics 4-9a</w:t>
      </w:r>
    </w:p>
    <w:p w:rsidR="00103B8A" w:rsidRPr="0008214B" w:rsidRDefault="00103B8A" w:rsidP="00103B8A">
      <w:pPr>
        <w:spacing w:after="0"/>
        <w:rPr>
          <w:color w:val="365F91" w:themeColor="accent1" w:themeShade="BF"/>
          <w:sz w:val="24"/>
          <w:szCs w:val="24"/>
        </w:rPr>
      </w:pPr>
      <w:r w:rsidRPr="0008214B">
        <w:rPr>
          <w:color w:val="365F91" w:themeColor="accent1" w:themeShade="BF"/>
          <w:sz w:val="24"/>
          <w:szCs w:val="24"/>
        </w:rPr>
        <w:t xml:space="preserve">Metrics 4-9a are taken directly from responses to the 2021 NHS Staff Survey. Our Trust's 2021 report has been published in full here: </w:t>
      </w:r>
      <w:hyperlink r:id="rId10" w:history="1">
        <w:r w:rsidRPr="0008214B">
          <w:rPr>
            <w:rStyle w:val="Hyperlink"/>
            <w:sz w:val="24"/>
            <w:szCs w:val="24"/>
          </w:rPr>
          <w:t>SPFT 2021 NHS Staff Survey Benchmark Report</w:t>
        </w:r>
      </w:hyperlink>
      <w:r w:rsidRPr="0008214B">
        <w:rPr>
          <w:color w:val="365F91" w:themeColor="accent1" w:themeShade="BF"/>
          <w:sz w:val="24"/>
          <w:szCs w:val="24"/>
        </w:rPr>
        <w:t>.</w:t>
      </w:r>
    </w:p>
    <w:p w:rsidR="00103B8A" w:rsidRPr="0008214B" w:rsidRDefault="00103B8A" w:rsidP="00103B8A">
      <w:pPr>
        <w:spacing w:after="0"/>
        <w:rPr>
          <w:color w:val="365F91" w:themeColor="accent1" w:themeShade="BF"/>
          <w:sz w:val="24"/>
          <w:szCs w:val="24"/>
        </w:rPr>
      </w:pPr>
    </w:p>
    <w:p w:rsidR="00103B8A" w:rsidRPr="0008214B" w:rsidRDefault="00103B8A" w:rsidP="00103B8A">
      <w:pPr>
        <w:spacing w:after="0"/>
        <w:rPr>
          <w:color w:val="365F91" w:themeColor="accent1" w:themeShade="BF"/>
          <w:sz w:val="36"/>
          <w:szCs w:val="36"/>
        </w:rPr>
      </w:pPr>
      <w:r w:rsidRPr="0008214B">
        <w:rPr>
          <w:color w:val="365F91" w:themeColor="accent1" w:themeShade="BF"/>
          <w:sz w:val="36"/>
          <w:szCs w:val="36"/>
        </w:rPr>
        <w:t>Metric 4</w:t>
      </w:r>
    </w:p>
    <w:p w:rsidR="00103B8A" w:rsidRPr="0008214B" w:rsidRDefault="00103B8A" w:rsidP="00E758D3">
      <w:pPr>
        <w:spacing w:after="0"/>
        <w:rPr>
          <w:color w:val="365F91" w:themeColor="accent1" w:themeShade="BF"/>
          <w:sz w:val="24"/>
          <w:szCs w:val="24"/>
        </w:rPr>
      </w:pPr>
      <w:r w:rsidRPr="0008214B">
        <w:rPr>
          <w:color w:val="365F91" w:themeColor="accent1" w:themeShade="BF"/>
          <w:sz w:val="24"/>
          <w:szCs w:val="24"/>
        </w:rPr>
        <w:t>Percentage of Disabled staff compared to non-disabled staff experiencing harassment, bullying or abuse from patients/service users, their relatives or other members of the public, managers, or other colleagues.</w:t>
      </w:r>
    </w:p>
    <w:p w:rsidR="00E758D3" w:rsidRPr="0008214B" w:rsidRDefault="00E758D3" w:rsidP="00E758D3">
      <w:pPr>
        <w:spacing w:after="0"/>
        <w:rPr>
          <w:color w:val="365F91" w:themeColor="accent1" w:themeShade="BF"/>
          <w:sz w:val="24"/>
          <w:szCs w:val="24"/>
        </w:rPr>
      </w:pPr>
    </w:p>
    <w:p w:rsidR="00103B8A" w:rsidRPr="0008214B" w:rsidRDefault="00103B8A" w:rsidP="00E758D3">
      <w:pPr>
        <w:spacing w:after="0"/>
        <w:rPr>
          <w:color w:val="365F91" w:themeColor="accent1" w:themeShade="BF"/>
          <w:sz w:val="24"/>
          <w:szCs w:val="24"/>
        </w:rPr>
      </w:pPr>
      <w:r w:rsidRPr="0008214B">
        <w:rPr>
          <w:color w:val="365F91" w:themeColor="accent1" w:themeShade="BF"/>
          <w:sz w:val="24"/>
          <w:szCs w:val="24"/>
        </w:rPr>
        <w:t>Percentage of Disabled staff compared to non-disabled staff saying that the last time they experienced harassment, bullying or abuse at work, they or a colleague reported it.</w:t>
      </w:r>
    </w:p>
    <w:p w:rsidR="009B7C69" w:rsidRPr="0008214B" w:rsidRDefault="009B7C69" w:rsidP="009B7C69">
      <w:pPr>
        <w:spacing w:after="0"/>
        <w:rPr>
          <w:color w:val="365F91" w:themeColor="accent1" w:themeShade="BF"/>
          <w:sz w:val="24"/>
          <w:szCs w:val="24"/>
        </w:rPr>
      </w:pPr>
    </w:p>
    <w:p w:rsidR="009B7C69" w:rsidRPr="0008214B" w:rsidRDefault="009B7C69" w:rsidP="009B7C69">
      <w:pPr>
        <w:spacing w:after="0"/>
        <w:rPr>
          <w:color w:val="365F91" w:themeColor="accent1" w:themeShade="BF"/>
          <w:sz w:val="24"/>
          <w:szCs w:val="24"/>
        </w:rPr>
      </w:pPr>
      <w:r w:rsidRPr="0008214B">
        <w:rPr>
          <w:color w:val="365F91" w:themeColor="accent1" w:themeShade="BF"/>
          <w:sz w:val="24"/>
          <w:szCs w:val="24"/>
        </w:rPr>
        <w:lastRenderedPageBreak/>
        <w:t>Note</w:t>
      </w:r>
      <w:r w:rsidR="005D121C" w:rsidRPr="0008214B">
        <w:rPr>
          <w:color w:val="365F91" w:themeColor="accent1" w:themeShade="BF"/>
          <w:sz w:val="24"/>
          <w:szCs w:val="24"/>
        </w:rPr>
        <w:t>s</w:t>
      </w:r>
      <w:r w:rsidRPr="0008214B">
        <w:rPr>
          <w:color w:val="365F91" w:themeColor="accent1" w:themeShade="BF"/>
          <w:sz w:val="24"/>
          <w:szCs w:val="24"/>
        </w:rPr>
        <w:t>: this is taken directly from Q14a-d of our 2021 NHS Staff Survey. Our benchmark group is made up of Mental Health, Learning Disability and Community Trusts.</w:t>
      </w:r>
    </w:p>
    <w:p w:rsidR="009B7C69" w:rsidRPr="0008214B" w:rsidRDefault="009B7C69" w:rsidP="009B7C69">
      <w:pPr>
        <w:spacing w:after="0"/>
        <w:rPr>
          <w:color w:val="365F91" w:themeColor="accent1" w:themeShade="BF"/>
          <w:sz w:val="24"/>
          <w:szCs w:val="24"/>
        </w:rPr>
      </w:pPr>
    </w:p>
    <w:p w:rsidR="00452198" w:rsidRPr="0008214B" w:rsidRDefault="009B7C69" w:rsidP="009B7C69">
      <w:pPr>
        <w:spacing w:after="0"/>
        <w:rPr>
          <w:color w:val="365F91" w:themeColor="accent1" w:themeShade="BF"/>
          <w:sz w:val="24"/>
          <w:szCs w:val="24"/>
        </w:rPr>
      </w:pPr>
      <w:r w:rsidRPr="0008214B">
        <w:rPr>
          <w:color w:val="365F91" w:themeColor="accent1" w:themeShade="BF"/>
          <w:sz w:val="24"/>
          <w:szCs w:val="24"/>
        </w:rPr>
        <w:t>Q14a, percentage of staff experiencing harassment, bullying or abuse from patients/service users, relatives or the public in last 12 months:</w:t>
      </w:r>
    </w:p>
    <w:tbl>
      <w:tblPr>
        <w:tblStyle w:val="TableGrid"/>
        <w:tblW w:w="0" w:type="auto"/>
        <w:tblLook w:val="04A0" w:firstRow="1" w:lastRow="0" w:firstColumn="1" w:lastColumn="0" w:noHBand="0" w:noVBand="1"/>
      </w:tblPr>
      <w:tblGrid>
        <w:gridCol w:w="2254"/>
        <w:gridCol w:w="2254"/>
        <w:gridCol w:w="2254"/>
        <w:gridCol w:w="2254"/>
      </w:tblGrid>
      <w:tr w:rsidR="009B7C69" w:rsidRPr="0008214B" w:rsidTr="009B7C69">
        <w:tc>
          <w:tcPr>
            <w:tcW w:w="2254" w:type="dxa"/>
            <w:shd w:val="clear" w:color="auto" w:fill="F2F2F2" w:themeFill="background1" w:themeFillShade="F2"/>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Q14a 2021</w:t>
            </w:r>
          </w:p>
        </w:tc>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 xml:space="preserve">Number of </w:t>
            </w:r>
            <w:r w:rsidR="005D121C" w:rsidRPr="0008214B">
              <w:rPr>
                <w:color w:val="365F91" w:themeColor="accent1" w:themeShade="BF"/>
                <w:sz w:val="24"/>
                <w:szCs w:val="24"/>
              </w:rPr>
              <w:t xml:space="preserve">SPFT </w:t>
            </w:r>
            <w:r w:rsidRPr="0008214B">
              <w:rPr>
                <w:color w:val="365F91" w:themeColor="accent1" w:themeShade="BF"/>
                <w:sz w:val="24"/>
                <w:szCs w:val="24"/>
              </w:rPr>
              <w:t>responses</w:t>
            </w:r>
          </w:p>
        </w:tc>
        <w:tc>
          <w:tcPr>
            <w:tcW w:w="2254" w:type="dxa"/>
          </w:tcPr>
          <w:p w:rsidR="009B7C69" w:rsidRPr="0008214B" w:rsidRDefault="005D121C" w:rsidP="009B7C69">
            <w:pPr>
              <w:rPr>
                <w:color w:val="365F91" w:themeColor="accent1" w:themeShade="BF"/>
                <w:sz w:val="24"/>
                <w:szCs w:val="24"/>
              </w:rPr>
            </w:pPr>
            <w:r w:rsidRPr="0008214B">
              <w:rPr>
                <w:color w:val="365F91" w:themeColor="accent1" w:themeShade="BF"/>
                <w:sz w:val="24"/>
                <w:szCs w:val="24"/>
              </w:rPr>
              <w:t>SPFT p</w:t>
            </w:r>
            <w:r w:rsidR="009B7C69" w:rsidRPr="0008214B">
              <w:rPr>
                <w:color w:val="365F91" w:themeColor="accent1" w:themeShade="BF"/>
                <w:sz w:val="24"/>
                <w:szCs w:val="24"/>
              </w:rPr>
              <w:t>ercentage experiencing abuse</w:t>
            </w:r>
          </w:p>
        </w:tc>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Benchmark group average (median)</w:t>
            </w:r>
          </w:p>
        </w:tc>
      </w:tr>
      <w:tr w:rsidR="009B7C69" w:rsidRPr="0008214B" w:rsidTr="009B7C69">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Disabled</w:t>
            </w:r>
          </w:p>
        </w:tc>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756</w:t>
            </w:r>
          </w:p>
        </w:tc>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35.6</w:t>
            </w:r>
          </w:p>
        </w:tc>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32.2</w:t>
            </w:r>
          </w:p>
        </w:tc>
      </w:tr>
      <w:tr w:rsidR="009B7C69" w:rsidRPr="0008214B" w:rsidTr="009B7C69">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Non-disabled</w:t>
            </w:r>
          </w:p>
        </w:tc>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1,826</w:t>
            </w:r>
          </w:p>
        </w:tc>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27.0</w:t>
            </w:r>
          </w:p>
        </w:tc>
        <w:tc>
          <w:tcPr>
            <w:tcW w:w="2254" w:type="dxa"/>
          </w:tcPr>
          <w:p w:rsidR="009B7C69" w:rsidRPr="0008214B" w:rsidRDefault="009B7C69" w:rsidP="009B7C69">
            <w:pPr>
              <w:rPr>
                <w:color w:val="365F91" w:themeColor="accent1" w:themeShade="BF"/>
                <w:sz w:val="24"/>
                <w:szCs w:val="24"/>
              </w:rPr>
            </w:pPr>
            <w:r w:rsidRPr="0008214B">
              <w:rPr>
                <w:color w:val="365F91" w:themeColor="accent1" w:themeShade="BF"/>
                <w:sz w:val="24"/>
                <w:szCs w:val="24"/>
              </w:rPr>
              <w:t>24.7</w:t>
            </w:r>
          </w:p>
        </w:tc>
      </w:tr>
    </w:tbl>
    <w:p w:rsidR="00AB118C" w:rsidRPr="0008214B" w:rsidRDefault="00AB118C" w:rsidP="00E600DE">
      <w:pPr>
        <w:spacing w:after="0"/>
        <w:rPr>
          <w:color w:val="365F91" w:themeColor="accent1" w:themeShade="BF"/>
          <w:sz w:val="24"/>
          <w:szCs w:val="24"/>
        </w:rPr>
      </w:pPr>
    </w:p>
    <w:p w:rsidR="009B7C69" w:rsidRPr="0008214B" w:rsidRDefault="009B7C69" w:rsidP="00E600DE">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9B7C69" w:rsidRPr="0008214B" w:rsidRDefault="009B7C69" w:rsidP="00E600DE">
      <w:pPr>
        <w:spacing w:after="0"/>
        <w:rPr>
          <w:color w:val="365F91" w:themeColor="accent1" w:themeShade="BF"/>
          <w:sz w:val="24"/>
          <w:szCs w:val="24"/>
        </w:rPr>
      </w:pPr>
    </w:p>
    <w:p w:rsidR="00E758D3" w:rsidRPr="0008214B" w:rsidRDefault="00E758D3" w:rsidP="00E758D3">
      <w:pPr>
        <w:spacing w:after="0"/>
        <w:rPr>
          <w:color w:val="365F91" w:themeColor="accent1" w:themeShade="BF"/>
          <w:sz w:val="24"/>
          <w:szCs w:val="24"/>
        </w:rPr>
      </w:pPr>
      <w:r w:rsidRPr="0008214B">
        <w:rPr>
          <w:color w:val="365F91" w:themeColor="accent1" w:themeShade="BF"/>
          <w:sz w:val="24"/>
          <w:szCs w:val="24"/>
        </w:rPr>
        <w:t>Q14b, percentage of staff experiencing harassment, bullying or abuse from managers in last 12 months:</w:t>
      </w:r>
    </w:p>
    <w:tbl>
      <w:tblPr>
        <w:tblStyle w:val="TableGrid"/>
        <w:tblW w:w="0" w:type="auto"/>
        <w:tblLook w:val="04A0" w:firstRow="1" w:lastRow="0" w:firstColumn="1" w:lastColumn="0" w:noHBand="0" w:noVBand="1"/>
      </w:tblPr>
      <w:tblGrid>
        <w:gridCol w:w="2254"/>
        <w:gridCol w:w="2254"/>
        <w:gridCol w:w="2254"/>
        <w:gridCol w:w="2254"/>
      </w:tblGrid>
      <w:tr w:rsidR="007E65C3" w:rsidRPr="0008214B" w:rsidTr="005D121C">
        <w:tc>
          <w:tcPr>
            <w:tcW w:w="2254" w:type="dxa"/>
            <w:shd w:val="clear" w:color="auto" w:fill="F2F2F2" w:themeFill="background1" w:themeFillShade="F2"/>
          </w:tcPr>
          <w:p w:rsidR="007E65C3" w:rsidRPr="0008214B" w:rsidRDefault="007E65C3" w:rsidP="007E65C3">
            <w:pPr>
              <w:rPr>
                <w:color w:val="365F91" w:themeColor="accent1" w:themeShade="BF"/>
                <w:sz w:val="24"/>
                <w:szCs w:val="24"/>
              </w:rPr>
            </w:pPr>
            <w:r w:rsidRPr="0008214B">
              <w:rPr>
                <w:color w:val="365F91" w:themeColor="accent1" w:themeShade="BF"/>
                <w:sz w:val="24"/>
                <w:szCs w:val="24"/>
              </w:rPr>
              <w:t>Q14b 2021</w:t>
            </w:r>
          </w:p>
        </w:tc>
        <w:tc>
          <w:tcPr>
            <w:tcW w:w="2254" w:type="dxa"/>
          </w:tcPr>
          <w:p w:rsidR="007E65C3" w:rsidRPr="0008214B" w:rsidRDefault="007E65C3" w:rsidP="007E65C3">
            <w:pPr>
              <w:rPr>
                <w:color w:val="365F91" w:themeColor="accent1" w:themeShade="BF"/>
                <w:sz w:val="24"/>
                <w:szCs w:val="24"/>
              </w:rPr>
            </w:pPr>
            <w:r w:rsidRPr="0008214B">
              <w:rPr>
                <w:color w:val="365F91" w:themeColor="accent1" w:themeShade="BF"/>
                <w:sz w:val="24"/>
                <w:szCs w:val="24"/>
              </w:rPr>
              <w:t xml:space="preserve">Number of </w:t>
            </w:r>
            <w:r w:rsidR="005D121C" w:rsidRPr="0008214B">
              <w:rPr>
                <w:color w:val="365F91" w:themeColor="accent1" w:themeShade="BF"/>
                <w:sz w:val="24"/>
                <w:szCs w:val="24"/>
              </w:rPr>
              <w:t xml:space="preserve">SPFT </w:t>
            </w:r>
            <w:r w:rsidRPr="0008214B">
              <w:rPr>
                <w:color w:val="365F91" w:themeColor="accent1" w:themeShade="BF"/>
                <w:sz w:val="24"/>
                <w:szCs w:val="24"/>
              </w:rPr>
              <w:t>responses</w:t>
            </w:r>
          </w:p>
        </w:tc>
        <w:tc>
          <w:tcPr>
            <w:tcW w:w="2254" w:type="dxa"/>
          </w:tcPr>
          <w:p w:rsidR="007E65C3" w:rsidRPr="0008214B" w:rsidRDefault="005D121C" w:rsidP="007E65C3">
            <w:pPr>
              <w:rPr>
                <w:color w:val="365F91" w:themeColor="accent1" w:themeShade="BF"/>
                <w:sz w:val="24"/>
                <w:szCs w:val="24"/>
              </w:rPr>
            </w:pPr>
            <w:r w:rsidRPr="0008214B">
              <w:rPr>
                <w:color w:val="365F91" w:themeColor="accent1" w:themeShade="BF"/>
                <w:sz w:val="24"/>
                <w:szCs w:val="24"/>
              </w:rPr>
              <w:t xml:space="preserve">SPFT percentage </w:t>
            </w:r>
            <w:r w:rsidR="007E65C3" w:rsidRPr="0008214B">
              <w:rPr>
                <w:color w:val="365F91" w:themeColor="accent1" w:themeShade="BF"/>
                <w:sz w:val="24"/>
                <w:szCs w:val="24"/>
              </w:rPr>
              <w:t>experiencing abuse</w:t>
            </w:r>
          </w:p>
        </w:tc>
        <w:tc>
          <w:tcPr>
            <w:tcW w:w="2254" w:type="dxa"/>
          </w:tcPr>
          <w:p w:rsidR="007E65C3" w:rsidRPr="0008214B" w:rsidRDefault="007E65C3" w:rsidP="007E65C3">
            <w:pPr>
              <w:rPr>
                <w:color w:val="365F91" w:themeColor="accent1" w:themeShade="BF"/>
                <w:sz w:val="24"/>
                <w:szCs w:val="24"/>
              </w:rPr>
            </w:pPr>
            <w:r w:rsidRPr="0008214B">
              <w:rPr>
                <w:color w:val="365F91" w:themeColor="accent1" w:themeShade="BF"/>
                <w:sz w:val="24"/>
                <w:szCs w:val="24"/>
              </w:rPr>
              <w:t>Benchmark group average (median)</w:t>
            </w:r>
          </w:p>
        </w:tc>
      </w:tr>
      <w:tr w:rsidR="007E65C3" w:rsidRPr="0008214B" w:rsidTr="007E65C3">
        <w:tc>
          <w:tcPr>
            <w:tcW w:w="2254" w:type="dxa"/>
          </w:tcPr>
          <w:p w:rsidR="007E65C3" w:rsidRPr="0008214B" w:rsidRDefault="007E65C3" w:rsidP="00E758D3">
            <w:pPr>
              <w:rPr>
                <w:color w:val="365F91" w:themeColor="accent1" w:themeShade="BF"/>
                <w:sz w:val="24"/>
                <w:szCs w:val="24"/>
              </w:rPr>
            </w:pPr>
            <w:r w:rsidRPr="0008214B">
              <w:rPr>
                <w:color w:val="365F91" w:themeColor="accent1" w:themeShade="BF"/>
                <w:sz w:val="24"/>
                <w:szCs w:val="24"/>
              </w:rPr>
              <w:t>Disabled</w:t>
            </w:r>
          </w:p>
        </w:tc>
        <w:tc>
          <w:tcPr>
            <w:tcW w:w="2254" w:type="dxa"/>
          </w:tcPr>
          <w:p w:rsidR="007E65C3" w:rsidRPr="0008214B" w:rsidRDefault="007E65C3" w:rsidP="00E758D3">
            <w:pPr>
              <w:rPr>
                <w:color w:val="365F91" w:themeColor="accent1" w:themeShade="BF"/>
                <w:sz w:val="24"/>
                <w:szCs w:val="24"/>
              </w:rPr>
            </w:pPr>
            <w:r w:rsidRPr="0008214B">
              <w:rPr>
                <w:color w:val="365F91" w:themeColor="accent1" w:themeShade="BF"/>
                <w:sz w:val="24"/>
                <w:szCs w:val="24"/>
              </w:rPr>
              <w:t>752</w:t>
            </w:r>
          </w:p>
        </w:tc>
        <w:tc>
          <w:tcPr>
            <w:tcW w:w="2254" w:type="dxa"/>
          </w:tcPr>
          <w:p w:rsidR="007E65C3" w:rsidRPr="0008214B" w:rsidRDefault="007E65C3" w:rsidP="00E758D3">
            <w:pPr>
              <w:rPr>
                <w:color w:val="365F91" w:themeColor="accent1" w:themeShade="BF"/>
                <w:sz w:val="24"/>
                <w:szCs w:val="24"/>
              </w:rPr>
            </w:pPr>
            <w:r w:rsidRPr="0008214B">
              <w:rPr>
                <w:color w:val="365F91" w:themeColor="accent1" w:themeShade="BF"/>
                <w:sz w:val="24"/>
                <w:szCs w:val="24"/>
              </w:rPr>
              <w:t>11.3</w:t>
            </w:r>
          </w:p>
        </w:tc>
        <w:tc>
          <w:tcPr>
            <w:tcW w:w="2254" w:type="dxa"/>
          </w:tcPr>
          <w:p w:rsidR="007E65C3" w:rsidRPr="0008214B" w:rsidRDefault="007E65C3" w:rsidP="00E758D3">
            <w:pPr>
              <w:rPr>
                <w:color w:val="365F91" w:themeColor="accent1" w:themeShade="BF"/>
                <w:sz w:val="24"/>
                <w:szCs w:val="24"/>
              </w:rPr>
            </w:pPr>
            <w:r w:rsidRPr="0008214B">
              <w:rPr>
                <w:color w:val="365F91" w:themeColor="accent1" w:themeShade="BF"/>
                <w:sz w:val="24"/>
                <w:szCs w:val="24"/>
              </w:rPr>
              <w:t>13.4</w:t>
            </w:r>
          </w:p>
        </w:tc>
      </w:tr>
      <w:tr w:rsidR="007E65C3" w:rsidRPr="0008214B" w:rsidTr="007E65C3">
        <w:tc>
          <w:tcPr>
            <w:tcW w:w="2254" w:type="dxa"/>
          </w:tcPr>
          <w:p w:rsidR="007E65C3" w:rsidRPr="0008214B" w:rsidRDefault="007E65C3" w:rsidP="00E758D3">
            <w:pPr>
              <w:rPr>
                <w:color w:val="365F91" w:themeColor="accent1" w:themeShade="BF"/>
                <w:sz w:val="24"/>
                <w:szCs w:val="24"/>
              </w:rPr>
            </w:pPr>
            <w:r w:rsidRPr="0008214B">
              <w:rPr>
                <w:color w:val="365F91" w:themeColor="accent1" w:themeShade="BF"/>
                <w:sz w:val="24"/>
                <w:szCs w:val="24"/>
              </w:rPr>
              <w:t>Non-disabled</w:t>
            </w:r>
          </w:p>
        </w:tc>
        <w:tc>
          <w:tcPr>
            <w:tcW w:w="2254" w:type="dxa"/>
          </w:tcPr>
          <w:p w:rsidR="007E65C3" w:rsidRPr="0008214B" w:rsidRDefault="007E65C3" w:rsidP="00E758D3">
            <w:pPr>
              <w:rPr>
                <w:color w:val="365F91" w:themeColor="accent1" w:themeShade="BF"/>
                <w:sz w:val="24"/>
                <w:szCs w:val="24"/>
              </w:rPr>
            </w:pPr>
            <w:r w:rsidRPr="0008214B">
              <w:rPr>
                <w:color w:val="365F91" w:themeColor="accent1" w:themeShade="BF"/>
                <w:sz w:val="24"/>
                <w:szCs w:val="24"/>
              </w:rPr>
              <w:t>1,816</w:t>
            </w:r>
          </w:p>
        </w:tc>
        <w:tc>
          <w:tcPr>
            <w:tcW w:w="2254" w:type="dxa"/>
          </w:tcPr>
          <w:p w:rsidR="007E65C3" w:rsidRPr="0008214B" w:rsidRDefault="007E65C3" w:rsidP="00E758D3">
            <w:pPr>
              <w:rPr>
                <w:color w:val="365F91" w:themeColor="accent1" w:themeShade="BF"/>
                <w:sz w:val="24"/>
                <w:szCs w:val="24"/>
              </w:rPr>
            </w:pPr>
            <w:r w:rsidRPr="0008214B">
              <w:rPr>
                <w:color w:val="365F91" w:themeColor="accent1" w:themeShade="BF"/>
                <w:sz w:val="24"/>
                <w:szCs w:val="24"/>
              </w:rPr>
              <w:t>7.5</w:t>
            </w:r>
          </w:p>
        </w:tc>
        <w:tc>
          <w:tcPr>
            <w:tcW w:w="2254" w:type="dxa"/>
          </w:tcPr>
          <w:p w:rsidR="007E65C3" w:rsidRPr="0008214B" w:rsidRDefault="00C6395C" w:rsidP="00E758D3">
            <w:pPr>
              <w:rPr>
                <w:color w:val="365F91" w:themeColor="accent1" w:themeShade="BF"/>
                <w:sz w:val="24"/>
                <w:szCs w:val="24"/>
              </w:rPr>
            </w:pPr>
            <w:r w:rsidRPr="0008214B">
              <w:rPr>
                <w:color w:val="365F91" w:themeColor="accent1" w:themeShade="BF"/>
                <w:sz w:val="24"/>
                <w:szCs w:val="24"/>
              </w:rPr>
              <w:t>7.1</w:t>
            </w:r>
          </w:p>
        </w:tc>
      </w:tr>
    </w:tbl>
    <w:p w:rsidR="00E758D3" w:rsidRPr="0008214B" w:rsidRDefault="00E758D3" w:rsidP="00E758D3">
      <w:pPr>
        <w:spacing w:after="0"/>
        <w:rPr>
          <w:color w:val="365F91" w:themeColor="accent1" w:themeShade="BF"/>
          <w:sz w:val="24"/>
          <w:szCs w:val="24"/>
        </w:rPr>
      </w:pPr>
    </w:p>
    <w:p w:rsidR="00E758D3" w:rsidRPr="0008214B" w:rsidRDefault="00C6395C" w:rsidP="00E758D3">
      <w:pPr>
        <w:spacing w:after="0"/>
        <w:rPr>
          <w:color w:val="365F91" w:themeColor="accent1" w:themeShade="BF"/>
          <w:sz w:val="24"/>
          <w:szCs w:val="24"/>
        </w:rPr>
      </w:pPr>
      <w:r w:rsidRPr="0008214B">
        <w:rPr>
          <w:noProof/>
          <w:color w:val="365F91" w:themeColor="accent1" w:themeShade="BF"/>
          <w:sz w:val="24"/>
          <w:szCs w:val="24"/>
        </w:rPr>
        <w:lastRenderedPageBreak/>
        <w:drawing>
          <wp:inline distT="0" distB="0" distL="0" distR="0">
            <wp:extent cx="5486400" cy="3200400"/>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758D3" w:rsidRPr="0008214B" w:rsidRDefault="00E758D3" w:rsidP="00E758D3">
      <w:pPr>
        <w:spacing w:after="0"/>
        <w:rPr>
          <w:color w:val="365F91" w:themeColor="accent1" w:themeShade="BF"/>
          <w:sz w:val="24"/>
          <w:szCs w:val="24"/>
        </w:rPr>
      </w:pPr>
    </w:p>
    <w:p w:rsidR="00C6395C" w:rsidRPr="0008214B" w:rsidRDefault="00C6395C" w:rsidP="00C6395C">
      <w:pPr>
        <w:spacing w:after="0"/>
        <w:rPr>
          <w:color w:val="365F91" w:themeColor="accent1" w:themeShade="BF"/>
          <w:sz w:val="24"/>
          <w:szCs w:val="24"/>
        </w:rPr>
      </w:pPr>
      <w:r w:rsidRPr="0008214B">
        <w:rPr>
          <w:color w:val="365F91" w:themeColor="accent1" w:themeShade="BF"/>
          <w:sz w:val="24"/>
          <w:szCs w:val="24"/>
        </w:rPr>
        <w:t>Q14c, percentage of staff experiencing harassment, bullying or abuse from other colleagues in last 12 months:</w:t>
      </w:r>
    </w:p>
    <w:tbl>
      <w:tblPr>
        <w:tblStyle w:val="TableGrid"/>
        <w:tblW w:w="0" w:type="auto"/>
        <w:tblLook w:val="04A0" w:firstRow="1" w:lastRow="0" w:firstColumn="1" w:lastColumn="0" w:noHBand="0" w:noVBand="1"/>
      </w:tblPr>
      <w:tblGrid>
        <w:gridCol w:w="2254"/>
        <w:gridCol w:w="2254"/>
        <w:gridCol w:w="2254"/>
        <w:gridCol w:w="2254"/>
      </w:tblGrid>
      <w:tr w:rsidR="00C6395C" w:rsidRPr="0008214B" w:rsidTr="005D121C">
        <w:tc>
          <w:tcPr>
            <w:tcW w:w="2254" w:type="dxa"/>
            <w:shd w:val="clear" w:color="auto" w:fill="F2F2F2" w:themeFill="background1" w:themeFillShade="F2"/>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Q14c 2021</w:t>
            </w:r>
          </w:p>
        </w:tc>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 xml:space="preserve">Number of </w:t>
            </w:r>
            <w:r w:rsidR="005D121C" w:rsidRPr="0008214B">
              <w:rPr>
                <w:color w:val="365F91" w:themeColor="accent1" w:themeShade="BF"/>
                <w:sz w:val="24"/>
                <w:szCs w:val="24"/>
              </w:rPr>
              <w:t xml:space="preserve">SPFT </w:t>
            </w:r>
            <w:r w:rsidRPr="0008214B">
              <w:rPr>
                <w:color w:val="365F91" w:themeColor="accent1" w:themeShade="BF"/>
                <w:sz w:val="24"/>
                <w:szCs w:val="24"/>
              </w:rPr>
              <w:t>responses</w:t>
            </w:r>
          </w:p>
        </w:tc>
        <w:tc>
          <w:tcPr>
            <w:tcW w:w="2254" w:type="dxa"/>
          </w:tcPr>
          <w:p w:rsidR="00C6395C" w:rsidRPr="0008214B" w:rsidRDefault="005D121C" w:rsidP="00AE6E6E">
            <w:pPr>
              <w:rPr>
                <w:color w:val="365F91" w:themeColor="accent1" w:themeShade="BF"/>
                <w:sz w:val="24"/>
                <w:szCs w:val="24"/>
              </w:rPr>
            </w:pPr>
            <w:r w:rsidRPr="0008214B">
              <w:rPr>
                <w:color w:val="365F91" w:themeColor="accent1" w:themeShade="BF"/>
                <w:sz w:val="24"/>
                <w:szCs w:val="24"/>
              </w:rPr>
              <w:t>SPFT p</w:t>
            </w:r>
            <w:r w:rsidR="00C6395C" w:rsidRPr="0008214B">
              <w:rPr>
                <w:color w:val="365F91" w:themeColor="accent1" w:themeShade="BF"/>
                <w:sz w:val="24"/>
                <w:szCs w:val="24"/>
              </w:rPr>
              <w:t>ercentage experiencing abuse</w:t>
            </w:r>
          </w:p>
        </w:tc>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Benchmark group average (median)</w:t>
            </w:r>
          </w:p>
        </w:tc>
      </w:tr>
      <w:tr w:rsidR="00C6395C" w:rsidRPr="0008214B" w:rsidTr="00AE6E6E">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Disabled</w:t>
            </w:r>
          </w:p>
        </w:tc>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752</w:t>
            </w:r>
          </w:p>
        </w:tc>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18.5</w:t>
            </w:r>
          </w:p>
        </w:tc>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20.2</w:t>
            </w:r>
          </w:p>
        </w:tc>
      </w:tr>
      <w:tr w:rsidR="00C6395C" w:rsidRPr="0008214B" w:rsidTr="00AE6E6E">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Non-disabled</w:t>
            </w:r>
          </w:p>
        </w:tc>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1,812</w:t>
            </w:r>
          </w:p>
        </w:tc>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14.3</w:t>
            </w:r>
          </w:p>
        </w:tc>
        <w:tc>
          <w:tcPr>
            <w:tcW w:w="2254" w:type="dxa"/>
          </w:tcPr>
          <w:p w:rsidR="00C6395C" w:rsidRPr="0008214B" w:rsidRDefault="00C6395C" w:rsidP="00AE6E6E">
            <w:pPr>
              <w:rPr>
                <w:color w:val="365F91" w:themeColor="accent1" w:themeShade="BF"/>
                <w:sz w:val="24"/>
                <w:szCs w:val="24"/>
              </w:rPr>
            </w:pPr>
            <w:r w:rsidRPr="0008214B">
              <w:rPr>
                <w:color w:val="365F91" w:themeColor="accent1" w:themeShade="BF"/>
                <w:sz w:val="24"/>
                <w:szCs w:val="24"/>
              </w:rPr>
              <w:t>12.3</w:t>
            </w:r>
          </w:p>
        </w:tc>
      </w:tr>
    </w:tbl>
    <w:p w:rsidR="00C6395C" w:rsidRPr="0008214B" w:rsidRDefault="00C6395C" w:rsidP="00C6395C">
      <w:pPr>
        <w:spacing w:after="0"/>
        <w:rPr>
          <w:color w:val="365F91" w:themeColor="accent1" w:themeShade="BF"/>
          <w:sz w:val="24"/>
          <w:szCs w:val="24"/>
        </w:rPr>
      </w:pPr>
    </w:p>
    <w:p w:rsidR="00C6395C" w:rsidRPr="0008214B" w:rsidRDefault="00C6395C" w:rsidP="00C6395C">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E758D3" w:rsidRPr="0008214B" w:rsidRDefault="00E758D3" w:rsidP="00E600DE">
      <w:pPr>
        <w:spacing w:after="0"/>
        <w:rPr>
          <w:color w:val="365F91" w:themeColor="accent1" w:themeShade="BF"/>
          <w:sz w:val="24"/>
          <w:szCs w:val="24"/>
        </w:rPr>
      </w:pPr>
    </w:p>
    <w:p w:rsidR="007B39D1" w:rsidRPr="0008214B" w:rsidRDefault="007B39D1" w:rsidP="007B39D1">
      <w:pPr>
        <w:spacing w:after="0"/>
        <w:rPr>
          <w:color w:val="365F91" w:themeColor="accent1" w:themeShade="BF"/>
          <w:sz w:val="24"/>
          <w:szCs w:val="24"/>
        </w:rPr>
      </w:pPr>
      <w:r w:rsidRPr="0008214B">
        <w:rPr>
          <w:color w:val="365F91" w:themeColor="accent1" w:themeShade="BF"/>
          <w:sz w:val="24"/>
          <w:szCs w:val="24"/>
        </w:rPr>
        <w:t>Q14d, percentage of staff saying that the last time they experienced harassment, bullying or abuse at work, they or a colleague reported it:</w:t>
      </w:r>
    </w:p>
    <w:tbl>
      <w:tblPr>
        <w:tblStyle w:val="TableGrid"/>
        <w:tblW w:w="0" w:type="auto"/>
        <w:tblLook w:val="04A0" w:firstRow="1" w:lastRow="0" w:firstColumn="1" w:lastColumn="0" w:noHBand="0" w:noVBand="1"/>
      </w:tblPr>
      <w:tblGrid>
        <w:gridCol w:w="2254"/>
        <w:gridCol w:w="2254"/>
        <w:gridCol w:w="2254"/>
        <w:gridCol w:w="2254"/>
      </w:tblGrid>
      <w:tr w:rsidR="007B39D1" w:rsidRPr="0008214B" w:rsidTr="005D121C">
        <w:tc>
          <w:tcPr>
            <w:tcW w:w="2254" w:type="dxa"/>
            <w:shd w:val="clear" w:color="auto" w:fill="F2F2F2" w:themeFill="background1" w:themeFillShade="F2"/>
          </w:tcPr>
          <w:p w:rsidR="007B39D1" w:rsidRPr="0008214B" w:rsidRDefault="007B39D1" w:rsidP="00AE6E6E">
            <w:pPr>
              <w:rPr>
                <w:color w:val="365F91" w:themeColor="accent1" w:themeShade="BF"/>
                <w:sz w:val="24"/>
                <w:szCs w:val="24"/>
              </w:rPr>
            </w:pPr>
            <w:r w:rsidRPr="0008214B">
              <w:rPr>
                <w:color w:val="365F91" w:themeColor="accent1" w:themeShade="BF"/>
                <w:sz w:val="24"/>
                <w:szCs w:val="24"/>
              </w:rPr>
              <w:lastRenderedPageBreak/>
              <w:t>Q14d 2021</w:t>
            </w:r>
          </w:p>
        </w:tc>
        <w:tc>
          <w:tcPr>
            <w:tcW w:w="2254" w:type="dxa"/>
          </w:tcPr>
          <w:p w:rsidR="007B39D1" w:rsidRPr="0008214B" w:rsidRDefault="007B39D1" w:rsidP="00AE6E6E">
            <w:pPr>
              <w:rPr>
                <w:color w:val="365F91" w:themeColor="accent1" w:themeShade="BF"/>
                <w:sz w:val="24"/>
                <w:szCs w:val="24"/>
              </w:rPr>
            </w:pPr>
            <w:r w:rsidRPr="0008214B">
              <w:rPr>
                <w:color w:val="365F91" w:themeColor="accent1" w:themeShade="BF"/>
                <w:sz w:val="24"/>
                <w:szCs w:val="24"/>
              </w:rPr>
              <w:t xml:space="preserve">Number of </w:t>
            </w:r>
            <w:r w:rsidR="005D121C" w:rsidRPr="0008214B">
              <w:rPr>
                <w:color w:val="365F91" w:themeColor="accent1" w:themeShade="BF"/>
                <w:sz w:val="24"/>
                <w:szCs w:val="24"/>
              </w:rPr>
              <w:t xml:space="preserve">SPFT </w:t>
            </w:r>
            <w:r w:rsidRPr="0008214B">
              <w:rPr>
                <w:color w:val="365F91" w:themeColor="accent1" w:themeShade="BF"/>
                <w:sz w:val="24"/>
                <w:szCs w:val="24"/>
              </w:rPr>
              <w:t>responses</w:t>
            </w:r>
          </w:p>
        </w:tc>
        <w:tc>
          <w:tcPr>
            <w:tcW w:w="2254" w:type="dxa"/>
          </w:tcPr>
          <w:p w:rsidR="007B39D1" w:rsidRPr="0008214B" w:rsidRDefault="005D121C" w:rsidP="00AE6E6E">
            <w:pPr>
              <w:rPr>
                <w:color w:val="365F91" w:themeColor="accent1" w:themeShade="BF"/>
                <w:sz w:val="24"/>
                <w:szCs w:val="24"/>
              </w:rPr>
            </w:pPr>
            <w:r w:rsidRPr="0008214B">
              <w:rPr>
                <w:color w:val="365F91" w:themeColor="accent1" w:themeShade="BF"/>
                <w:sz w:val="24"/>
                <w:szCs w:val="24"/>
              </w:rPr>
              <w:t>SPFT p</w:t>
            </w:r>
            <w:r w:rsidR="007B39D1" w:rsidRPr="0008214B">
              <w:rPr>
                <w:color w:val="365F91" w:themeColor="accent1" w:themeShade="BF"/>
                <w:sz w:val="24"/>
                <w:szCs w:val="24"/>
              </w:rPr>
              <w:t>ercentage reporting abuse</w:t>
            </w:r>
          </w:p>
        </w:tc>
        <w:tc>
          <w:tcPr>
            <w:tcW w:w="2254" w:type="dxa"/>
          </w:tcPr>
          <w:p w:rsidR="007B39D1" w:rsidRPr="0008214B" w:rsidRDefault="007B39D1" w:rsidP="00AE6E6E">
            <w:pPr>
              <w:rPr>
                <w:color w:val="365F91" w:themeColor="accent1" w:themeShade="BF"/>
                <w:sz w:val="24"/>
                <w:szCs w:val="24"/>
              </w:rPr>
            </w:pPr>
            <w:r w:rsidRPr="0008214B">
              <w:rPr>
                <w:color w:val="365F91" w:themeColor="accent1" w:themeShade="BF"/>
                <w:sz w:val="24"/>
                <w:szCs w:val="24"/>
              </w:rPr>
              <w:t>Benchmark group average (median)</w:t>
            </w:r>
          </w:p>
        </w:tc>
      </w:tr>
      <w:tr w:rsidR="007B39D1" w:rsidRPr="0008214B" w:rsidTr="00AE6E6E">
        <w:tc>
          <w:tcPr>
            <w:tcW w:w="2254" w:type="dxa"/>
          </w:tcPr>
          <w:p w:rsidR="007B39D1" w:rsidRPr="0008214B" w:rsidRDefault="007B39D1" w:rsidP="00AE6E6E">
            <w:pPr>
              <w:rPr>
                <w:color w:val="365F91" w:themeColor="accent1" w:themeShade="BF"/>
                <w:sz w:val="24"/>
                <w:szCs w:val="24"/>
              </w:rPr>
            </w:pPr>
            <w:r w:rsidRPr="0008214B">
              <w:rPr>
                <w:color w:val="365F91" w:themeColor="accent1" w:themeShade="BF"/>
                <w:sz w:val="24"/>
                <w:szCs w:val="24"/>
              </w:rPr>
              <w:t>Disabled</w:t>
            </w:r>
          </w:p>
        </w:tc>
        <w:tc>
          <w:tcPr>
            <w:tcW w:w="2254" w:type="dxa"/>
          </w:tcPr>
          <w:p w:rsidR="007B39D1" w:rsidRPr="0008214B" w:rsidRDefault="00CA28D0" w:rsidP="00AE6E6E">
            <w:pPr>
              <w:rPr>
                <w:color w:val="365F91" w:themeColor="accent1" w:themeShade="BF"/>
                <w:sz w:val="24"/>
                <w:szCs w:val="24"/>
              </w:rPr>
            </w:pPr>
            <w:r w:rsidRPr="0008214B">
              <w:rPr>
                <w:color w:val="365F91" w:themeColor="accent1" w:themeShade="BF"/>
                <w:sz w:val="24"/>
                <w:szCs w:val="24"/>
              </w:rPr>
              <w:t>330</w:t>
            </w:r>
          </w:p>
        </w:tc>
        <w:tc>
          <w:tcPr>
            <w:tcW w:w="2254" w:type="dxa"/>
          </w:tcPr>
          <w:p w:rsidR="007B39D1" w:rsidRPr="0008214B" w:rsidRDefault="00CA28D0" w:rsidP="00AE6E6E">
            <w:pPr>
              <w:rPr>
                <w:color w:val="365F91" w:themeColor="accent1" w:themeShade="BF"/>
                <w:sz w:val="24"/>
                <w:szCs w:val="24"/>
              </w:rPr>
            </w:pPr>
            <w:r w:rsidRPr="0008214B">
              <w:rPr>
                <w:color w:val="365F91" w:themeColor="accent1" w:themeShade="BF"/>
                <w:sz w:val="24"/>
                <w:szCs w:val="24"/>
              </w:rPr>
              <w:t>62.7</w:t>
            </w:r>
          </w:p>
        </w:tc>
        <w:tc>
          <w:tcPr>
            <w:tcW w:w="2254" w:type="dxa"/>
          </w:tcPr>
          <w:p w:rsidR="007B39D1" w:rsidRPr="0008214B" w:rsidRDefault="00CA28D0" w:rsidP="00AE6E6E">
            <w:pPr>
              <w:rPr>
                <w:color w:val="365F91" w:themeColor="accent1" w:themeShade="BF"/>
                <w:sz w:val="24"/>
                <w:szCs w:val="24"/>
              </w:rPr>
            </w:pPr>
            <w:r w:rsidRPr="0008214B">
              <w:rPr>
                <w:color w:val="365F91" w:themeColor="accent1" w:themeShade="BF"/>
                <w:sz w:val="24"/>
                <w:szCs w:val="24"/>
              </w:rPr>
              <w:t>59.4</w:t>
            </w:r>
          </w:p>
        </w:tc>
      </w:tr>
      <w:tr w:rsidR="007B39D1" w:rsidRPr="0008214B" w:rsidTr="00AE6E6E">
        <w:tc>
          <w:tcPr>
            <w:tcW w:w="2254" w:type="dxa"/>
          </w:tcPr>
          <w:p w:rsidR="007B39D1" w:rsidRPr="0008214B" w:rsidRDefault="007B39D1" w:rsidP="00AE6E6E">
            <w:pPr>
              <w:rPr>
                <w:color w:val="365F91" w:themeColor="accent1" w:themeShade="BF"/>
                <w:sz w:val="24"/>
                <w:szCs w:val="24"/>
              </w:rPr>
            </w:pPr>
            <w:r w:rsidRPr="0008214B">
              <w:rPr>
                <w:color w:val="365F91" w:themeColor="accent1" w:themeShade="BF"/>
                <w:sz w:val="24"/>
                <w:szCs w:val="24"/>
              </w:rPr>
              <w:t>Non-disabled</w:t>
            </w:r>
          </w:p>
        </w:tc>
        <w:tc>
          <w:tcPr>
            <w:tcW w:w="2254" w:type="dxa"/>
          </w:tcPr>
          <w:p w:rsidR="007B39D1" w:rsidRPr="0008214B" w:rsidRDefault="00CA28D0" w:rsidP="00AE6E6E">
            <w:pPr>
              <w:rPr>
                <w:color w:val="365F91" w:themeColor="accent1" w:themeShade="BF"/>
                <w:sz w:val="24"/>
                <w:szCs w:val="24"/>
              </w:rPr>
            </w:pPr>
            <w:r w:rsidRPr="0008214B">
              <w:rPr>
                <w:color w:val="365F91" w:themeColor="accent1" w:themeShade="BF"/>
                <w:sz w:val="24"/>
                <w:szCs w:val="24"/>
              </w:rPr>
              <w:t>600</w:t>
            </w:r>
          </w:p>
        </w:tc>
        <w:tc>
          <w:tcPr>
            <w:tcW w:w="2254" w:type="dxa"/>
          </w:tcPr>
          <w:p w:rsidR="007B39D1" w:rsidRPr="0008214B" w:rsidRDefault="00CA28D0" w:rsidP="00AE6E6E">
            <w:pPr>
              <w:rPr>
                <w:color w:val="365F91" w:themeColor="accent1" w:themeShade="BF"/>
                <w:sz w:val="24"/>
                <w:szCs w:val="24"/>
              </w:rPr>
            </w:pPr>
            <w:r w:rsidRPr="0008214B">
              <w:rPr>
                <w:color w:val="365F91" w:themeColor="accent1" w:themeShade="BF"/>
                <w:sz w:val="24"/>
                <w:szCs w:val="24"/>
              </w:rPr>
              <w:t>53.3</w:t>
            </w:r>
          </w:p>
        </w:tc>
        <w:tc>
          <w:tcPr>
            <w:tcW w:w="2254" w:type="dxa"/>
          </w:tcPr>
          <w:p w:rsidR="007B39D1" w:rsidRPr="0008214B" w:rsidRDefault="00CA28D0" w:rsidP="00AE6E6E">
            <w:pPr>
              <w:rPr>
                <w:color w:val="365F91" w:themeColor="accent1" w:themeShade="BF"/>
                <w:sz w:val="24"/>
                <w:szCs w:val="24"/>
              </w:rPr>
            </w:pPr>
            <w:r w:rsidRPr="0008214B">
              <w:rPr>
                <w:color w:val="365F91" w:themeColor="accent1" w:themeShade="BF"/>
                <w:sz w:val="24"/>
                <w:szCs w:val="24"/>
              </w:rPr>
              <w:t>61.0</w:t>
            </w:r>
          </w:p>
        </w:tc>
      </w:tr>
    </w:tbl>
    <w:p w:rsidR="007B39D1" w:rsidRPr="0008214B" w:rsidRDefault="007B39D1" w:rsidP="007B39D1">
      <w:pPr>
        <w:spacing w:after="0"/>
        <w:rPr>
          <w:color w:val="365F91" w:themeColor="accent1" w:themeShade="BF"/>
          <w:sz w:val="24"/>
          <w:szCs w:val="24"/>
        </w:rPr>
      </w:pPr>
    </w:p>
    <w:p w:rsidR="007B39D1" w:rsidRPr="0008214B" w:rsidRDefault="00CA28D0" w:rsidP="00E600DE">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CA28D0" w:rsidRPr="0008214B" w:rsidRDefault="00CA28D0" w:rsidP="00E600DE">
      <w:pPr>
        <w:spacing w:after="0"/>
        <w:rPr>
          <w:color w:val="365F91" w:themeColor="accent1" w:themeShade="BF"/>
          <w:sz w:val="24"/>
          <w:szCs w:val="24"/>
        </w:rPr>
      </w:pPr>
    </w:p>
    <w:p w:rsidR="00CA28D0" w:rsidRPr="0008214B" w:rsidRDefault="00CA28D0" w:rsidP="00E600DE">
      <w:pPr>
        <w:spacing w:after="0"/>
        <w:rPr>
          <w:color w:val="365F91" w:themeColor="accent1" w:themeShade="BF"/>
          <w:sz w:val="24"/>
          <w:szCs w:val="24"/>
        </w:rPr>
      </w:pPr>
      <w:r w:rsidRPr="0008214B">
        <w:rPr>
          <w:color w:val="365F91" w:themeColor="accent1" w:themeShade="BF"/>
          <w:sz w:val="24"/>
          <w:szCs w:val="24"/>
        </w:rPr>
        <w:t>What the data tells us:</w:t>
      </w:r>
    </w:p>
    <w:p w:rsidR="00CA28D0" w:rsidRPr="0008214B" w:rsidRDefault="00CA28D0" w:rsidP="00CA28D0">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35.6% of Disabled staff at SPFT experienced harassment, bullying or abuse from patients/service users, relatives or the public</w:t>
      </w:r>
      <w:r w:rsidR="00AE6E6E" w:rsidRPr="0008214B">
        <w:rPr>
          <w:color w:val="365F91" w:themeColor="accent1" w:themeShade="BF"/>
          <w:sz w:val="24"/>
          <w:szCs w:val="24"/>
        </w:rPr>
        <w:t>. This is a slight year-on-year increase, and is still 3.4% above the benchmark group average.</w:t>
      </w:r>
    </w:p>
    <w:p w:rsidR="00AE6E6E" w:rsidRPr="0008214B" w:rsidRDefault="00AE6E6E" w:rsidP="00CA28D0">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The percentage of Disabled staff at SPFT experiencing harassment, bullying or abuse from managers has markedly decreased (down to 11.3%), and is 2.1% below the benchmark group average for the first time since 2018.</w:t>
      </w:r>
    </w:p>
    <w:p w:rsidR="00AE6E6E" w:rsidRPr="0008214B" w:rsidRDefault="00AE6E6E" w:rsidP="00CA28D0">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The percentage of Disabled staff at SPFT experiencing harassment, bullying or abuse from colleagues has also decreased (down to 20.2%), and is 1.7%</w:t>
      </w:r>
      <w:r w:rsidR="00A07569" w:rsidRPr="0008214B">
        <w:rPr>
          <w:color w:val="365F91" w:themeColor="accent1" w:themeShade="BF"/>
          <w:sz w:val="24"/>
          <w:szCs w:val="24"/>
        </w:rPr>
        <w:t xml:space="preserve"> below the benchmark group average, the furthest below the average to date.</w:t>
      </w:r>
    </w:p>
    <w:p w:rsidR="00A07569" w:rsidRPr="0008214B" w:rsidRDefault="00A07569" w:rsidP="00CA28D0">
      <w:pPr>
        <w:pStyle w:val="ListParagraph"/>
        <w:numPr>
          <w:ilvl w:val="0"/>
          <w:numId w:val="4"/>
        </w:numPr>
        <w:spacing w:after="0"/>
        <w:rPr>
          <w:color w:val="365F91" w:themeColor="accent1" w:themeShade="BF"/>
          <w:sz w:val="24"/>
          <w:szCs w:val="24"/>
        </w:rPr>
      </w:pPr>
      <w:r w:rsidRPr="0008214B">
        <w:rPr>
          <w:color w:val="365F91" w:themeColor="accent1" w:themeShade="BF"/>
          <w:sz w:val="24"/>
          <w:szCs w:val="24"/>
        </w:rPr>
        <w:t>62.7% of Disabled staff at SPFT said that the last time they experienced harassment, bullying or abuse at work, they or a colleague reported it. This is a significant year-on-year increase, placing SPFT above the benchmark group average (59.4%) for the first time.</w:t>
      </w:r>
    </w:p>
    <w:p w:rsidR="00D6344A" w:rsidRDefault="00D6344A" w:rsidP="00D6344A">
      <w:pPr>
        <w:spacing w:after="0"/>
        <w:rPr>
          <w:color w:val="365F91" w:themeColor="accent1" w:themeShade="BF"/>
          <w:sz w:val="24"/>
          <w:szCs w:val="24"/>
        </w:rPr>
      </w:pPr>
    </w:p>
    <w:p w:rsidR="00A07569" w:rsidRPr="00D6344A" w:rsidRDefault="00E57E9B" w:rsidP="00D6344A">
      <w:pPr>
        <w:spacing w:after="0"/>
        <w:rPr>
          <w:color w:val="365F91" w:themeColor="accent1" w:themeShade="BF"/>
          <w:sz w:val="24"/>
          <w:szCs w:val="24"/>
        </w:rPr>
      </w:pPr>
      <w:r w:rsidRPr="00D6344A">
        <w:rPr>
          <w:color w:val="365F91" w:themeColor="accent1" w:themeShade="BF"/>
          <w:sz w:val="24"/>
          <w:szCs w:val="24"/>
        </w:rPr>
        <w:t xml:space="preserve">The actions against this metric on the Trust's 2022 WDES action plan </w:t>
      </w:r>
      <w:r w:rsidR="00D6344A">
        <w:rPr>
          <w:color w:val="365F91" w:themeColor="accent1" w:themeShade="BF"/>
          <w:sz w:val="24"/>
          <w:szCs w:val="24"/>
        </w:rPr>
        <w:t>will</w:t>
      </w:r>
      <w:r w:rsidRPr="00D6344A">
        <w:rPr>
          <w:color w:val="365F91" w:themeColor="accent1" w:themeShade="BF"/>
          <w:sz w:val="24"/>
          <w:szCs w:val="24"/>
        </w:rPr>
        <w:t xml:space="preserve"> concentrate on decreasing the incidence of harassment, bullying or abuse from patients/service users, relatives or the public (Q14a). The Trust performs better against Q14b-d, but there is still not parity of experience between Disabled and non-disabled staff.</w:t>
      </w:r>
    </w:p>
    <w:p w:rsidR="00E57E9B" w:rsidRPr="0008214B" w:rsidRDefault="00E57E9B" w:rsidP="00E57E9B">
      <w:pPr>
        <w:spacing w:after="0"/>
        <w:rPr>
          <w:color w:val="365F91" w:themeColor="accent1" w:themeShade="BF"/>
          <w:sz w:val="24"/>
          <w:szCs w:val="24"/>
        </w:rPr>
      </w:pPr>
    </w:p>
    <w:p w:rsidR="001E0CCB" w:rsidRPr="0008214B" w:rsidRDefault="00E57E9B" w:rsidP="00E57E9B">
      <w:pPr>
        <w:tabs>
          <w:tab w:val="left" w:pos="6096"/>
        </w:tabs>
        <w:spacing w:after="0"/>
        <w:rPr>
          <w:color w:val="365F91" w:themeColor="accent1" w:themeShade="BF"/>
          <w:sz w:val="36"/>
          <w:szCs w:val="36"/>
        </w:rPr>
      </w:pPr>
      <w:r w:rsidRPr="0008214B">
        <w:rPr>
          <w:color w:val="365F91" w:themeColor="accent1" w:themeShade="BF"/>
          <w:sz w:val="36"/>
          <w:szCs w:val="36"/>
        </w:rPr>
        <w:lastRenderedPageBreak/>
        <w:t>Metric 5</w:t>
      </w:r>
    </w:p>
    <w:p w:rsidR="005D121C" w:rsidRPr="0008214B" w:rsidRDefault="005D121C" w:rsidP="005D121C">
      <w:pPr>
        <w:tabs>
          <w:tab w:val="left" w:pos="6096"/>
        </w:tabs>
        <w:spacing w:after="0"/>
        <w:rPr>
          <w:color w:val="365F91" w:themeColor="accent1" w:themeShade="BF"/>
          <w:sz w:val="24"/>
          <w:szCs w:val="24"/>
        </w:rPr>
      </w:pPr>
      <w:r w:rsidRPr="0008214B">
        <w:rPr>
          <w:color w:val="365F91" w:themeColor="accent1" w:themeShade="BF"/>
          <w:sz w:val="24"/>
          <w:szCs w:val="24"/>
        </w:rPr>
        <w:t>Percentage of staff who believe that their organisation provides equal opportunities for career progression or promotion.</w:t>
      </w:r>
    </w:p>
    <w:p w:rsidR="00CA28D0" w:rsidRPr="0008214B" w:rsidRDefault="00CA28D0" w:rsidP="00E600DE">
      <w:pPr>
        <w:spacing w:after="0"/>
        <w:rPr>
          <w:color w:val="365F91" w:themeColor="accent1" w:themeShade="BF"/>
          <w:sz w:val="24"/>
          <w:szCs w:val="24"/>
        </w:rPr>
      </w:pPr>
    </w:p>
    <w:p w:rsidR="005D121C" w:rsidRPr="0008214B" w:rsidRDefault="005D121C" w:rsidP="00E600DE">
      <w:pPr>
        <w:spacing w:after="0"/>
        <w:rPr>
          <w:color w:val="365F91" w:themeColor="accent1" w:themeShade="BF"/>
          <w:sz w:val="24"/>
          <w:szCs w:val="24"/>
        </w:rPr>
      </w:pPr>
      <w:r w:rsidRPr="0008214B">
        <w:rPr>
          <w:color w:val="365F91" w:themeColor="accent1" w:themeShade="BF"/>
          <w:sz w:val="24"/>
          <w:szCs w:val="24"/>
        </w:rPr>
        <w:t>Notes: this is taken directly from Q15 of our 2021 NHS Staff Survey. Our benchmark group is made up of Mental Health, Learning Disability and Community Trusts.</w:t>
      </w:r>
    </w:p>
    <w:p w:rsidR="005D121C" w:rsidRPr="0008214B" w:rsidRDefault="005D121C"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5D121C" w:rsidRPr="0008214B" w:rsidTr="005D121C">
        <w:tc>
          <w:tcPr>
            <w:tcW w:w="2254" w:type="dxa"/>
            <w:shd w:val="clear" w:color="auto" w:fill="F2F2F2" w:themeFill="background1" w:themeFillShade="F2"/>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Q15 2021</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Number of SPFT responses</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SPFT percentage believing</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Benchmark group average (median)</w:t>
            </w:r>
          </w:p>
        </w:tc>
      </w:tr>
      <w:tr w:rsidR="005D121C" w:rsidRPr="0008214B" w:rsidTr="006C3B8E">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Disabled</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785</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54.4%</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54.4%</w:t>
            </w:r>
          </w:p>
        </w:tc>
      </w:tr>
      <w:tr w:rsidR="005D121C" w:rsidRPr="0008214B" w:rsidTr="006C3B8E">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Non-disabled</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1,880</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58.8%</w:t>
            </w:r>
          </w:p>
        </w:tc>
        <w:tc>
          <w:tcPr>
            <w:tcW w:w="2254" w:type="dxa"/>
          </w:tcPr>
          <w:p w:rsidR="005D121C" w:rsidRPr="0008214B" w:rsidRDefault="005D121C" w:rsidP="006C3B8E">
            <w:pPr>
              <w:rPr>
                <w:color w:val="365F91" w:themeColor="accent1" w:themeShade="BF"/>
                <w:sz w:val="24"/>
                <w:szCs w:val="24"/>
              </w:rPr>
            </w:pPr>
            <w:r w:rsidRPr="0008214B">
              <w:rPr>
                <w:color w:val="365F91" w:themeColor="accent1" w:themeShade="BF"/>
                <w:sz w:val="24"/>
                <w:szCs w:val="24"/>
              </w:rPr>
              <w:t>60.2%</w:t>
            </w:r>
          </w:p>
        </w:tc>
      </w:tr>
    </w:tbl>
    <w:p w:rsidR="005D121C" w:rsidRPr="0008214B" w:rsidRDefault="005D121C" w:rsidP="00E600DE">
      <w:pPr>
        <w:spacing w:after="0"/>
        <w:rPr>
          <w:color w:val="365F91" w:themeColor="accent1" w:themeShade="BF"/>
          <w:sz w:val="24"/>
          <w:szCs w:val="24"/>
        </w:rPr>
      </w:pPr>
    </w:p>
    <w:p w:rsidR="005D121C" w:rsidRPr="0008214B" w:rsidRDefault="00AF3E91" w:rsidP="00E600DE">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5D121C" w:rsidRPr="0008214B" w:rsidRDefault="005D121C" w:rsidP="00E600DE">
      <w:pPr>
        <w:spacing w:after="0"/>
        <w:rPr>
          <w:color w:val="365F91" w:themeColor="accent1" w:themeShade="BF"/>
          <w:sz w:val="24"/>
          <w:szCs w:val="24"/>
        </w:rPr>
      </w:pPr>
    </w:p>
    <w:p w:rsidR="00C3462D" w:rsidRPr="0008214B" w:rsidRDefault="00C3462D" w:rsidP="00E600DE">
      <w:pPr>
        <w:spacing w:after="0"/>
        <w:rPr>
          <w:color w:val="365F91" w:themeColor="accent1" w:themeShade="BF"/>
          <w:sz w:val="24"/>
          <w:szCs w:val="24"/>
        </w:rPr>
      </w:pPr>
      <w:r w:rsidRPr="0008214B">
        <w:rPr>
          <w:noProof/>
          <w:color w:val="365F91" w:themeColor="accent1" w:themeShade="BF"/>
          <w:sz w:val="24"/>
          <w:szCs w:val="24"/>
        </w:rPr>
        <w:lastRenderedPageBreak/>
        <w:drawing>
          <wp:inline distT="0" distB="0" distL="0" distR="0">
            <wp:extent cx="5486400" cy="3200400"/>
            <wp:effectExtent l="0" t="0" r="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C3462D" w:rsidRPr="0008214B" w:rsidRDefault="00C3462D" w:rsidP="00E600DE">
      <w:pPr>
        <w:spacing w:after="0"/>
        <w:rPr>
          <w:color w:val="365F91" w:themeColor="accent1" w:themeShade="BF"/>
          <w:sz w:val="24"/>
          <w:szCs w:val="24"/>
        </w:rPr>
      </w:pPr>
    </w:p>
    <w:p w:rsidR="00AF3E91" w:rsidRPr="0008214B" w:rsidRDefault="00AF3E91" w:rsidP="00E600DE">
      <w:pPr>
        <w:spacing w:after="0"/>
        <w:rPr>
          <w:color w:val="365F91" w:themeColor="accent1" w:themeShade="BF"/>
          <w:sz w:val="24"/>
          <w:szCs w:val="24"/>
        </w:rPr>
      </w:pPr>
      <w:r w:rsidRPr="0008214B">
        <w:rPr>
          <w:color w:val="365F91" w:themeColor="accent1" w:themeShade="BF"/>
          <w:sz w:val="24"/>
          <w:szCs w:val="24"/>
        </w:rPr>
        <w:t>What the data tells us:</w:t>
      </w:r>
    </w:p>
    <w:p w:rsidR="00AF3E91" w:rsidRPr="0008214B" w:rsidRDefault="00AF3E91" w:rsidP="00AF3E91">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 xml:space="preserve">The Trust's performance on this metric is currently in line with the benchmark group average, with 54.4% of Disabled staff believing that </w:t>
      </w:r>
      <w:r w:rsidR="00CF63C5" w:rsidRPr="0008214B">
        <w:rPr>
          <w:color w:val="365F91" w:themeColor="accent1" w:themeShade="BF"/>
          <w:sz w:val="24"/>
          <w:szCs w:val="24"/>
        </w:rPr>
        <w:t>SPFT</w:t>
      </w:r>
      <w:r w:rsidRPr="0008214B">
        <w:rPr>
          <w:color w:val="365F91" w:themeColor="accent1" w:themeShade="BF"/>
          <w:sz w:val="24"/>
          <w:szCs w:val="24"/>
        </w:rPr>
        <w:t xml:space="preserve"> provide</w:t>
      </w:r>
      <w:r w:rsidR="00CF63C5" w:rsidRPr="0008214B">
        <w:rPr>
          <w:color w:val="365F91" w:themeColor="accent1" w:themeShade="BF"/>
          <w:sz w:val="24"/>
          <w:szCs w:val="24"/>
        </w:rPr>
        <w:t>s</w:t>
      </w:r>
      <w:r w:rsidRPr="0008214B">
        <w:rPr>
          <w:color w:val="365F91" w:themeColor="accent1" w:themeShade="BF"/>
          <w:sz w:val="24"/>
          <w:szCs w:val="24"/>
        </w:rPr>
        <w:t xml:space="preserve"> equal opportunities for career progression or promotion.</w:t>
      </w:r>
    </w:p>
    <w:p w:rsidR="00AF3E91" w:rsidRPr="0008214B" w:rsidRDefault="00AF3E91" w:rsidP="00AF3E91">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Our progress on this metric has not been linear, with a higher result of 55.9% in 2019, and a drop back to 52.9% in 2020</w:t>
      </w:r>
      <w:r w:rsidR="003B6CB3" w:rsidRPr="0008214B">
        <w:rPr>
          <w:color w:val="365F91" w:themeColor="accent1" w:themeShade="BF"/>
          <w:sz w:val="24"/>
          <w:szCs w:val="24"/>
        </w:rPr>
        <w:t>, suggesting it should still be monitored closely.</w:t>
      </w:r>
    </w:p>
    <w:p w:rsidR="003B6CB3" w:rsidRDefault="003B6CB3" w:rsidP="00AF3E91">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While there is still not parity of experience between Disabled and non-disabled staff at SPFT, with a 4.4% difference (58.8% - 54.4%), the gap has closed markedly since 2018, when it was 11.1% (62.3% - 51.2%).</w:t>
      </w:r>
    </w:p>
    <w:p w:rsidR="00D6344A" w:rsidRDefault="00D6344A" w:rsidP="00D6344A">
      <w:pPr>
        <w:spacing w:after="0"/>
        <w:rPr>
          <w:color w:val="365F91" w:themeColor="accent1" w:themeShade="BF"/>
          <w:sz w:val="24"/>
          <w:szCs w:val="24"/>
        </w:rPr>
      </w:pPr>
    </w:p>
    <w:p w:rsidR="00D6344A" w:rsidRPr="00D6344A" w:rsidRDefault="00D6344A" w:rsidP="00D6344A">
      <w:pPr>
        <w:spacing w:after="0"/>
        <w:rPr>
          <w:color w:val="365F91" w:themeColor="accent1" w:themeShade="BF"/>
          <w:sz w:val="24"/>
          <w:szCs w:val="24"/>
        </w:rPr>
      </w:pPr>
      <w:r>
        <w:rPr>
          <w:color w:val="365F91" w:themeColor="accent1" w:themeShade="BF"/>
          <w:sz w:val="24"/>
          <w:szCs w:val="24"/>
        </w:rPr>
        <w:t xml:space="preserve">A key action against this metric on the Trust's 2022 WDES action plan </w:t>
      </w:r>
      <w:r w:rsidR="0048477A">
        <w:rPr>
          <w:color w:val="365F91" w:themeColor="accent1" w:themeShade="BF"/>
          <w:sz w:val="24"/>
          <w:szCs w:val="24"/>
        </w:rPr>
        <w:t>will be</w:t>
      </w:r>
      <w:r>
        <w:rPr>
          <w:color w:val="365F91" w:themeColor="accent1" w:themeShade="BF"/>
          <w:sz w:val="24"/>
          <w:szCs w:val="24"/>
        </w:rPr>
        <w:t xml:space="preserve"> the delivery of the dedicated Course Accessibility Project. The project encompasses an accessibility audit of all the courses available on MyLearning, the Trust's e-learning platform, and the publication of accessibility information alongside each individual course.</w:t>
      </w:r>
    </w:p>
    <w:p w:rsidR="00AF3E91" w:rsidRPr="0008214B" w:rsidRDefault="00AF3E91" w:rsidP="00E600DE">
      <w:pPr>
        <w:spacing w:after="0"/>
        <w:rPr>
          <w:color w:val="365F91" w:themeColor="accent1" w:themeShade="BF"/>
          <w:sz w:val="24"/>
          <w:szCs w:val="24"/>
        </w:rPr>
      </w:pPr>
    </w:p>
    <w:p w:rsidR="003B6CB3" w:rsidRPr="0008214B" w:rsidRDefault="003B6CB3" w:rsidP="00E600DE">
      <w:pPr>
        <w:spacing w:after="0"/>
        <w:rPr>
          <w:color w:val="365F91" w:themeColor="accent1" w:themeShade="BF"/>
          <w:sz w:val="36"/>
          <w:szCs w:val="36"/>
        </w:rPr>
      </w:pPr>
      <w:r w:rsidRPr="0008214B">
        <w:rPr>
          <w:color w:val="365F91" w:themeColor="accent1" w:themeShade="BF"/>
          <w:sz w:val="36"/>
          <w:szCs w:val="36"/>
        </w:rPr>
        <w:t>Metric 6</w:t>
      </w:r>
    </w:p>
    <w:p w:rsidR="003B6CB3" w:rsidRPr="0008214B" w:rsidRDefault="008C78B1" w:rsidP="00E600DE">
      <w:pPr>
        <w:spacing w:after="0"/>
        <w:rPr>
          <w:color w:val="365F91" w:themeColor="accent1" w:themeShade="BF"/>
          <w:sz w:val="24"/>
          <w:szCs w:val="24"/>
        </w:rPr>
      </w:pPr>
      <w:r w:rsidRPr="0008214B">
        <w:rPr>
          <w:color w:val="365F91" w:themeColor="accent1" w:themeShade="BF"/>
          <w:sz w:val="24"/>
          <w:szCs w:val="24"/>
        </w:rPr>
        <w:t>Percentage of Disabled staff compared to non-disabled staff saying that they have felt pressure from their manager to come to work, despite not feeling well enough to perform their duties.</w:t>
      </w:r>
    </w:p>
    <w:p w:rsidR="008C78B1" w:rsidRPr="0008214B" w:rsidRDefault="008C78B1" w:rsidP="00E600DE">
      <w:pPr>
        <w:spacing w:after="0"/>
        <w:rPr>
          <w:color w:val="365F91" w:themeColor="accent1" w:themeShade="BF"/>
          <w:sz w:val="24"/>
          <w:szCs w:val="24"/>
        </w:rPr>
      </w:pPr>
    </w:p>
    <w:p w:rsidR="008C78B1" w:rsidRPr="0008214B" w:rsidRDefault="008C78B1" w:rsidP="00E600DE">
      <w:pPr>
        <w:spacing w:after="0"/>
        <w:rPr>
          <w:color w:val="365F91" w:themeColor="accent1" w:themeShade="BF"/>
          <w:sz w:val="24"/>
          <w:szCs w:val="24"/>
        </w:rPr>
      </w:pPr>
      <w:r w:rsidRPr="0008214B">
        <w:rPr>
          <w:color w:val="365F91" w:themeColor="accent1" w:themeShade="BF"/>
          <w:sz w:val="24"/>
          <w:szCs w:val="24"/>
        </w:rPr>
        <w:t>Notes: this is taken directly from Q11e of our 2021 NHS Staff Survey. Our benchmark group is made up of Mental Health, Learning Disability and Community Trusts.</w:t>
      </w:r>
    </w:p>
    <w:p w:rsidR="008C78B1" w:rsidRPr="0008214B" w:rsidRDefault="008C78B1" w:rsidP="00E600DE">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DB302C" w:rsidRPr="0008214B" w:rsidTr="006C3B8E">
        <w:tc>
          <w:tcPr>
            <w:tcW w:w="2254" w:type="dxa"/>
            <w:shd w:val="clear" w:color="auto" w:fill="F2F2F2" w:themeFill="background1" w:themeFillShade="F2"/>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lastRenderedPageBreak/>
              <w:t>Q11e 2021</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Number of SPFT responses</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SPFT percentage who felt pressure</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Benchmark group average (median)</w:t>
            </w:r>
          </w:p>
        </w:tc>
      </w:tr>
      <w:tr w:rsidR="00DB302C" w:rsidRPr="0008214B" w:rsidTr="006C3B8E">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Disabled</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488</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18.2</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20.8</w:t>
            </w:r>
          </w:p>
        </w:tc>
      </w:tr>
      <w:tr w:rsidR="00DB302C" w:rsidRPr="0008214B" w:rsidTr="006C3B8E">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Non-disabled</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891</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16.0</w:t>
            </w:r>
          </w:p>
        </w:tc>
        <w:tc>
          <w:tcPr>
            <w:tcW w:w="2254" w:type="dxa"/>
          </w:tcPr>
          <w:p w:rsidR="00DB302C" w:rsidRPr="0008214B" w:rsidRDefault="00DB302C" w:rsidP="006C3B8E">
            <w:pPr>
              <w:rPr>
                <w:color w:val="365F91" w:themeColor="accent1" w:themeShade="BF"/>
                <w:sz w:val="24"/>
                <w:szCs w:val="24"/>
              </w:rPr>
            </w:pPr>
            <w:r w:rsidRPr="0008214B">
              <w:rPr>
                <w:color w:val="365F91" w:themeColor="accent1" w:themeShade="BF"/>
                <w:sz w:val="24"/>
                <w:szCs w:val="24"/>
              </w:rPr>
              <w:t>14.7</w:t>
            </w:r>
          </w:p>
        </w:tc>
      </w:tr>
    </w:tbl>
    <w:p w:rsidR="008C78B1" w:rsidRPr="0008214B" w:rsidRDefault="008C78B1" w:rsidP="00E600DE">
      <w:pPr>
        <w:spacing w:after="0"/>
        <w:rPr>
          <w:color w:val="365F91" w:themeColor="accent1" w:themeShade="BF"/>
          <w:sz w:val="24"/>
          <w:szCs w:val="24"/>
        </w:rPr>
      </w:pPr>
    </w:p>
    <w:p w:rsidR="00DB302C" w:rsidRPr="0008214B" w:rsidRDefault="00AE7F1C" w:rsidP="00E600DE">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D397E" w:rsidRPr="0008214B" w:rsidRDefault="002D397E" w:rsidP="00E600DE">
      <w:pPr>
        <w:spacing w:after="0"/>
        <w:rPr>
          <w:color w:val="365F91" w:themeColor="accent1" w:themeShade="BF"/>
          <w:sz w:val="24"/>
          <w:szCs w:val="24"/>
        </w:rPr>
      </w:pPr>
    </w:p>
    <w:p w:rsidR="002D397E" w:rsidRPr="0008214B" w:rsidRDefault="002D397E" w:rsidP="00E600DE">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DB302C" w:rsidRPr="0008214B" w:rsidRDefault="00DB302C" w:rsidP="00E600DE">
      <w:pPr>
        <w:spacing w:after="0"/>
        <w:rPr>
          <w:color w:val="365F91" w:themeColor="accent1" w:themeShade="BF"/>
          <w:sz w:val="24"/>
          <w:szCs w:val="24"/>
        </w:rPr>
      </w:pPr>
    </w:p>
    <w:p w:rsidR="00AE7F1C" w:rsidRPr="0008214B" w:rsidRDefault="00AE7F1C" w:rsidP="00E600DE">
      <w:pPr>
        <w:spacing w:after="0"/>
        <w:rPr>
          <w:color w:val="365F91" w:themeColor="accent1" w:themeShade="BF"/>
          <w:sz w:val="24"/>
          <w:szCs w:val="24"/>
        </w:rPr>
      </w:pPr>
      <w:r w:rsidRPr="0008214B">
        <w:rPr>
          <w:color w:val="365F91" w:themeColor="accent1" w:themeShade="BF"/>
          <w:sz w:val="24"/>
          <w:szCs w:val="24"/>
        </w:rPr>
        <w:t>What the data tells us:</w:t>
      </w:r>
    </w:p>
    <w:p w:rsidR="00AE7F1C" w:rsidRPr="0008214B" w:rsidRDefault="002D397E" w:rsidP="00AE7F1C">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In terms of Disabled staff, t</w:t>
      </w:r>
      <w:r w:rsidR="00AE7F1C" w:rsidRPr="0008214B">
        <w:rPr>
          <w:color w:val="365F91" w:themeColor="accent1" w:themeShade="BF"/>
          <w:sz w:val="24"/>
          <w:szCs w:val="24"/>
        </w:rPr>
        <w:t xml:space="preserve">he Trust is performing well against this metric, </w:t>
      </w:r>
      <w:r w:rsidRPr="0008214B">
        <w:rPr>
          <w:color w:val="365F91" w:themeColor="accent1" w:themeShade="BF"/>
          <w:sz w:val="24"/>
          <w:szCs w:val="24"/>
        </w:rPr>
        <w:t xml:space="preserve">with only 18.2% of staff feeling pressure from their manager to come to work, despite not </w:t>
      </w:r>
      <w:r w:rsidRPr="0008214B">
        <w:rPr>
          <w:color w:val="365F91" w:themeColor="accent1" w:themeShade="BF"/>
          <w:sz w:val="24"/>
          <w:szCs w:val="24"/>
        </w:rPr>
        <w:lastRenderedPageBreak/>
        <w:t>feeling well enough to perform their duties. This has decreased year on year since 2018, and is now 2.6% below the benchmark group average.</w:t>
      </w:r>
    </w:p>
    <w:p w:rsidR="002D397E" w:rsidRPr="0008214B" w:rsidRDefault="002D397E" w:rsidP="00AE7F1C">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The Trust is also improving in terms of parity of experience, with just a 2.2% difference between Disabled and non-disabled staff in 2021 (18.2% - 16.0%), compared to the greatest difference to date, in 2019, of 11.8% (23.8% - 12.0%).</w:t>
      </w:r>
    </w:p>
    <w:p w:rsidR="002D397E" w:rsidRDefault="002D397E" w:rsidP="00AE7F1C">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It should be noted</w:t>
      </w:r>
      <w:r w:rsidR="00281832" w:rsidRPr="0008214B">
        <w:rPr>
          <w:color w:val="365F91" w:themeColor="accent1" w:themeShade="BF"/>
          <w:sz w:val="24"/>
          <w:szCs w:val="24"/>
        </w:rPr>
        <w:t xml:space="preserve"> </w:t>
      </w:r>
      <w:r w:rsidRPr="0008214B">
        <w:rPr>
          <w:color w:val="365F91" w:themeColor="accent1" w:themeShade="BF"/>
          <w:sz w:val="24"/>
          <w:szCs w:val="24"/>
        </w:rPr>
        <w:t xml:space="preserve">that </w:t>
      </w:r>
      <w:r w:rsidR="00281832" w:rsidRPr="0008214B">
        <w:rPr>
          <w:color w:val="365F91" w:themeColor="accent1" w:themeShade="BF"/>
          <w:sz w:val="24"/>
          <w:szCs w:val="24"/>
        </w:rPr>
        <w:t>experience is worsening overall for non-disabled SPFT staff. The 2021 figure of 16.0% is 1.3% above the benchmark group average, the first time it has been above the benchmark group average to date.</w:t>
      </w:r>
    </w:p>
    <w:p w:rsidR="00511D94" w:rsidRDefault="00511D94" w:rsidP="00511D94">
      <w:pPr>
        <w:spacing w:after="0"/>
        <w:rPr>
          <w:color w:val="365F91" w:themeColor="accent1" w:themeShade="BF"/>
          <w:sz w:val="24"/>
          <w:szCs w:val="24"/>
        </w:rPr>
      </w:pPr>
    </w:p>
    <w:p w:rsidR="00511D94" w:rsidRPr="00511D94" w:rsidRDefault="00511D94" w:rsidP="00511D94">
      <w:pPr>
        <w:spacing w:after="0"/>
        <w:rPr>
          <w:color w:val="365F91" w:themeColor="accent1" w:themeShade="BF"/>
          <w:sz w:val="24"/>
          <w:szCs w:val="24"/>
        </w:rPr>
      </w:pPr>
      <w:r>
        <w:rPr>
          <w:color w:val="365F91" w:themeColor="accent1" w:themeShade="BF"/>
          <w:sz w:val="24"/>
          <w:szCs w:val="24"/>
        </w:rPr>
        <w:t xml:space="preserve">Actions against this metric on the Trust's 2022 WDES action plan will include the procurement of </w:t>
      </w:r>
      <w:r w:rsidR="0000378B">
        <w:rPr>
          <w:color w:val="365F91" w:themeColor="accent1" w:themeShade="BF"/>
          <w:sz w:val="24"/>
          <w:szCs w:val="24"/>
        </w:rPr>
        <w:t xml:space="preserve">a </w:t>
      </w:r>
      <w:r>
        <w:rPr>
          <w:color w:val="365F91" w:themeColor="accent1" w:themeShade="BF"/>
          <w:sz w:val="24"/>
          <w:szCs w:val="24"/>
        </w:rPr>
        <w:t xml:space="preserve">new Occupational Health </w:t>
      </w:r>
      <w:r w:rsidR="0000378B">
        <w:rPr>
          <w:color w:val="365F91" w:themeColor="accent1" w:themeShade="BF"/>
          <w:sz w:val="24"/>
          <w:szCs w:val="24"/>
        </w:rPr>
        <w:t xml:space="preserve">service, and a review of the Trust's </w:t>
      </w:r>
      <w:r w:rsidR="0000378B" w:rsidRPr="0000378B">
        <w:rPr>
          <w:color w:val="365F91" w:themeColor="accent1" w:themeShade="BF"/>
          <w:sz w:val="24"/>
          <w:szCs w:val="24"/>
        </w:rPr>
        <w:t>Sickness Absence and Attendance Management Policy to include disability leave</w:t>
      </w:r>
      <w:r w:rsidR="0000378B">
        <w:rPr>
          <w:color w:val="365F91" w:themeColor="accent1" w:themeShade="BF"/>
          <w:sz w:val="24"/>
          <w:szCs w:val="24"/>
        </w:rPr>
        <w:t>.</w:t>
      </w:r>
    </w:p>
    <w:p w:rsidR="00281832" w:rsidRPr="0008214B" w:rsidRDefault="00281832" w:rsidP="00281832">
      <w:pPr>
        <w:spacing w:after="0"/>
        <w:rPr>
          <w:color w:val="365F91" w:themeColor="accent1" w:themeShade="BF"/>
          <w:sz w:val="24"/>
          <w:szCs w:val="24"/>
        </w:rPr>
      </w:pPr>
    </w:p>
    <w:p w:rsidR="00281832" w:rsidRPr="0008214B" w:rsidRDefault="00281832" w:rsidP="00281832">
      <w:pPr>
        <w:spacing w:after="0"/>
        <w:rPr>
          <w:color w:val="365F91" w:themeColor="accent1" w:themeShade="BF"/>
          <w:sz w:val="36"/>
          <w:szCs w:val="36"/>
        </w:rPr>
      </w:pPr>
      <w:r w:rsidRPr="0008214B">
        <w:rPr>
          <w:color w:val="365F91" w:themeColor="accent1" w:themeShade="BF"/>
          <w:sz w:val="36"/>
          <w:szCs w:val="36"/>
        </w:rPr>
        <w:t>Metric 7</w:t>
      </w:r>
    </w:p>
    <w:p w:rsidR="00281832" w:rsidRPr="0008214B" w:rsidRDefault="00281832" w:rsidP="00281832">
      <w:pPr>
        <w:spacing w:after="0"/>
        <w:rPr>
          <w:color w:val="365F91" w:themeColor="accent1" w:themeShade="BF"/>
          <w:sz w:val="24"/>
          <w:szCs w:val="24"/>
        </w:rPr>
      </w:pPr>
      <w:r w:rsidRPr="0008214B">
        <w:rPr>
          <w:color w:val="365F91" w:themeColor="accent1" w:themeShade="BF"/>
          <w:sz w:val="24"/>
          <w:szCs w:val="24"/>
        </w:rPr>
        <w:t>Percentage of Disabled staff compared to non-disabled staff saying that they are satisfied with the extent to which their organisation values their work.</w:t>
      </w:r>
    </w:p>
    <w:p w:rsidR="00281832" w:rsidRPr="0008214B" w:rsidRDefault="00281832" w:rsidP="00281832">
      <w:pPr>
        <w:spacing w:after="0"/>
        <w:rPr>
          <w:color w:val="365F91" w:themeColor="accent1" w:themeShade="BF"/>
          <w:sz w:val="24"/>
          <w:szCs w:val="24"/>
        </w:rPr>
      </w:pPr>
    </w:p>
    <w:p w:rsidR="00281832" w:rsidRPr="0008214B" w:rsidRDefault="00281832" w:rsidP="00281832">
      <w:pPr>
        <w:spacing w:after="0"/>
        <w:rPr>
          <w:color w:val="365F91" w:themeColor="accent1" w:themeShade="BF"/>
          <w:sz w:val="24"/>
          <w:szCs w:val="24"/>
        </w:rPr>
      </w:pPr>
      <w:r w:rsidRPr="0008214B">
        <w:rPr>
          <w:color w:val="365F91" w:themeColor="accent1" w:themeShade="BF"/>
          <w:sz w:val="24"/>
          <w:szCs w:val="24"/>
        </w:rPr>
        <w:t>Notes: this is taken directly from Q4b of our 2021 NHS Staff Survey. Our benchmark group is made up of Mental Health, Learning Disability and Community Trusts.</w:t>
      </w:r>
    </w:p>
    <w:p w:rsidR="00281832" w:rsidRPr="0008214B" w:rsidRDefault="00281832" w:rsidP="00281832">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023C81" w:rsidRPr="0008214B" w:rsidTr="006C3B8E">
        <w:tc>
          <w:tcPr>
            <w:tcW w:w="2254" w:type="dxa"/>
            <w:shd w:val="clear" w:color="auto" w:fill="F2F2F2" w:themeFill="background1" w:themeFillShade="F2"/>
          </w:tcPr>
          <w:p w:rsidR="00023C81" w:rsidRPr="0008214B" w:rsidRDefault="00023C81" w:rsidP="006C3B8E">
            <w:pPr>
              <w:rPr>
                <w:color w:val="365F91" w:themeColor="accent1" w:themeShade="BF"/>
                <w:sz w:val="24"/>
                <w:szCs w:val="24"/>
              </w:rPr>
            </w:pPr>
            <w:r w:rsidRPr="0008214B">
              <w:rPr>
                <w:color w:val="365F91" w:themeColor="accent1" w:themeShade="BF"/>
                <w:sz w:val="24"/>
                <w:szCs w:val="24"/>
              </w:rPr>
              <w:t>Q4b 2021</w:t>
            </w:r>
          </w:p>
        </w:tc>
        <w:tc>
          <w:tcPr>
            <w:tcW w:w="2254" w:type="dxa"/>
          </w:tcPr>
          <w:p w:rsidR="00023C81" w:rsidRPr="0008214B" w:rsidRDefault="00023C81" w:rsidP="006C3B8E">
            <w:pPr>
              <w:rPr>
                <w:color w:val="365F91" w:themeColor="accent1" w:themeShade="BF"/>
                <w:sz w:val="24"/>
                <w:szCs w:val="24"/>
              </w:rPr>
            </w:pPr>
            <w:r w:rsidRPr="0008214B">
              <w:rPr>
                <w:color w:val="365F91" w:themeColor="accent1" w:themeShade="BF"/>
                <w:sz w:val="24"/>
                <w:szCs w:val="24"/>
              </w:rPr>
              <w:t>Number of SPFT responses</w:t>
            </w:r>
          </w:p>
        </w:tc>
        <w:tc>
          <w:tcPr>
            <w:tcW w:w="2254" w:type="dxa"/>
          </w:tcPr>
          <w:p w:rsidR="00023C81" w:rsidRPr="0008214B" w:rsidRDefault="00023C81" w:rsidP="006C3B8E">
            <w:pPr>
              <w:rPr>
                <w:color w:val="365F91" w:themeColor="accent1" w:themeShade="BF"/>
                <w:sz w:val="24"/>
                <w:szCs w:val="24"/>
              </w:rPr>
            </w:pPr>
            <w:r w:rsidRPr="0008214B">
              <w:rPr>
                <w:color w:val="365F91" w:themeColor="accent1" w:themeShade="BF"/>
                <w:sz w:val="24"/>
                <w:szCs w:val="24"/>
              </w:rPr>
              <w:t>SPFT percentage satisfied</w:t>
            </w:r>
          </w:p>
        </w:tc>
        <w:tc>
          <w:tcPr>
            <w:tcW w:w="2254" w:type="dxa"/>
          </w:tcPr>
          <w:p w:rsidR="00023C81" w:rsidRPr="0008214B" w:rsidRDefault="00023C81" w:rsidP="006C3B8E">
            <w:pPr>
              <w:rPr>
                <w:color w:val="365F91" w:themeColor="accent1" w:themeShade="BF"/>
                <w:sz w:val="24"/>
                <w:szCs w:val="24"/>
              </w:rPr>
            </w:pPr>
            <w:r w:rsidRPr="0008214B">
              <w:rPr>
                <w:color w:val="365F91" w:themeColor="accent1" w:themeShade="BF"/>
                <w:sz w:val="24"/>
                <w:szCs w:val="24"/>
              </w:rPr>
              <w:t>Benchmark group average (median)</w:t>
            </w:r>
          </w:p>
        </w:tc>
      </w:tr>
      <w:tr w:rsidR="00023C81" w:rsidRPr="0008214B" w:rsidTr="006C3B8E">
        <w:tc>
          <w:tcPr>
            <w:tcW w:w="2254" w:type="dxa"/>
          </w:tcPr>
          <w:p w:rsidR="00023C81" w:rsidRPr="0008214B" w:rsidRDefault="00023C81" w:rsidP="006C3B8E">
            <w:pPr>
              <w:rPr>
                <w:color w:val="365F91" w:themeColor="accent1" w:themeShade="BF"/>
                <w:sz w:val="24"/>
                <w:szCs w:val="24"/>
              </w:rPr>
            </w:pPr>
            <w:r w:rsidRPr="0008214B">
              <w:rPr>
                <w:color w:val="365F91" w:themeColor="accent1" w:themeShade="BF"/>
                <w:sz w:val="24"/>
                <w:szCs w:val="24"/>
              </w:rPr>
              <w:t>Disabled</w:t>
            </w:r>
          </w:p>
        </w:tc>
        <w:tc>
          <w:tcPr>
            <w:tcW w:w="2254" w:type="dxa"/>
          </w:tcPr>
          <w:p w:rsidR="00023C81" w:rsidRPr="0008214B" w:rsidRDefault="00023C81" w:rsidP="006C3B8E">
            <w:pPr>
              <w:rPr>
                <w:color w:val="365F91" w:themeColor="accent1" w:themeShade="BF"/>
                <w:sz w:val="24"/>
                <w:szCs w:val="24"/>
              </w:rPr>
            </w:pPr>
            <w:r w:rsidRPr="0008214B">
              <w:rPr>
                <w:color w:val="365F91" w:themeColor="accent1" w:themeShade="BF"/>
                <w:sz w:val="24"/>
                <w:szCs w:val="24"/>
              </w:rPr>
              <w:t>791</w:t>
            </w:r>
          </w:p>
        </w:tc>
        <w:tc>
          <w:tcPr>
            <w:tcW w:w="2254" w:type="dxa"/>
          </w:tcPr>
          <w:p w:rsidR="00023C81" w:rsidRPr="0008214B" w:rsidRDefault="001F1C29" w:rsidP="006C3B8E">
            <w:pPr>
              <w:rPr>
                <w:color w:val="365F91" w:themeColor="accent1" w:themeShade="BF"/>
                <w:sz w:val="24"/>
                <w:szCs w:val="24"/>
              </w:rPr>
            </w:pPr>
            <w:r w:rsidRPr="0008214B">
              <w:rPr>
                <w:color w:val="365F91" w:themeColor="accent1" w:themeShade="BF"/>
                <w:sz w:val="24"/>
                <w:szCs w:val="24"/>
              </w:rPr>
              <w:t>50.4</w:t>
            </w:r>
          </w:p>
        </w:tc>
        <w:tc>
          <w:tcPr>
            <w:tcW w:w="2254" w:type="dxa"/>
          </w:tcPr>
          <w:p w:rsidR="00023C81" w:rsidRPr="0008214B" w:rsidRDefault="001F1C29" w:rsidP="006C3B8E">
            <w:pPr>
              <w:rPr>
                <w:color w:val="365F91" w:themeColor="accent1" w:themeShade="BF"/>
                <w:sz w:val="24"/>
                <w:szCs w:val="24"/>
              </w:rPr>
            </w:pPr>
            <w:r w:rsidRPr="0008214B">
              <w:rPr>
                <w:color w:val="365F91" w:themeColor="accent1" w:themeShade="BF"/>
                <w:sz w:val="24"/>
                <w:szCs w:val="24"/>
              </w:rPr>
              <w:t>43.6</w:t>
            </w:r>
          </w:p>
        </w:tc>
      </w:tr>
      <w:tr w:rsidR="00023C81" w:rsidRPr="0008214B" w:rsidTr="006C3B8E">
        <w:tc>
          <w:tcPr>
            <w:tcW w:w="2254" w:type="dxa"/>
          </w:tcPr>
          <w:p w:rsidR="00023C81" w:rsidRPr="0008214B" w:rsidRDefault="00023C81" w:rsidP="006C3B8E">
            <w:pPr>
              <w:rPr>
                <w:color w:val="365F91" w:themeColor="accent1" w:themeShade="BF"/>
                <w:sz w:val="24"/>
                <w:szCs w:val="24"/>
              </w:rPr>
            </w:pPr>
            <w:r w:rsidRPr="0008214B">
              <w:rPr>
                <w:color w:val="365F91" w:themeColor="accent1" w:themeShade="BF"/>
                <w:sz w:val="24"/>
                <w:szCs w:val="24"/>
              </w:rPr>
              <w:t>Non-disabled</w:t>
            </w:r>
          </w:p>
        </w:tc>
        <w:tc>
          <w:tcPr>
            <w:tcW w:w="2254" w:type="dxa"/>
          </w:tcPr>
          <w:p w:rsidR="00023C81" w:rsidRPr="0008214B" w:rsidRDefault="00023C81" w:rsidP="006C3B8E">
            <w:pPr>
              <w:rPr>
                <w:color w:val="365F91" w:themeColor="accent1" w:themeShade="BF"/>
                <w:sz w:val="24"/>
                <w:szCs w:val="24"/>
              </w:rPr>
            </w:pPr>
            <w:r w:rsidRPr="0008214B">
              <w:rPr>
                <w:color w:val="365F91" w:themeColor="accent1" w:themeShade="BF"/>
                <w:sz w:val="24"/>
                <w:szCs w:val="24"/>
              </w:rPr>
              <w:t>1,897</w:t>
            </w:r>
          </w:p>
        </w:tc>
        <w:tc>
          <w:tcPr>
            <w:tcW w:w="2254" w:type="dxa"/>
          </w:tcPr>
          <w:p w:rsidR="00023C81" w:rsidRPr="0008214B" w:rsidRDefault="001F1C29" w:rsidP="006C3B8E">
            <w:pPr>
              <w:rPr>
                <w:color w:val="365F91" w:themeColor="accent1" w:themeShade="BF"/>
                <w:sz w:val="24"/>
                <w:szCs w:val="24"/>
              </w:rPr>
            </w:pPr>
            <w:r w:rsidRPr="0008214B">
              <w:rPr>
                <w:color w:val="365F91" w:themeColor="accent1" w:themeShade="BF"/>
                <w:sz w:val="24"/>
                <w:szCs w:val="24"/>
              </w:rPr>
              <w:t>56.5</w:t>
            </w:r>
          </w:p>
        </w:tc>
        <w:tc>
          <w:tcPr>
            <w:tcW w:w="2254" w:type="dxa"/>
          </w:tcPr>
          <w:p w:rsidR="00023C81" w:rsidRPr="0008214B" w:rsidRDefault="001F1C29" w:rsidP="006C3B8E">
            <w:pPr>
              <w:rPr>
                <w:color w:val="365F91" w:themeColor="accent1" w:themeShade="BF"/>
                <w:sz w:val="24"/>
                <w:szCs w:val="24"/>
              </w:rPr>
            </w:pPr>
            <w:r w:rsidRPr="0008214B">
              <w:rPr>
                <w:color w:val="365F91" w:themeColor="accent1" w:themeShade="BF"/>
                <w:sz w:val="24"/>
                <w:szCs w:val="24"/>
              </w:rPr>
              <w:t>51.5</w:t>
            </w:r>
          </w:p>
        </w:tc>
      </w:tr>
    </w:tbl>
    <w:p w:rsidR="00281832" w:rsidRPr="0008214B" w:rsidRDefault="00281832" w:rsidP="00281832">
      <w:pPr>
        <w:spacing w:after="0"/>
        <w:rPr>
          <w:color w:val="365F91" w:themeColor="accent1" w:themeShade="BF"/>
          <w:sz w:val="24"/>
          <w:szCs w:val="24"/>
        </w:rPr>
      </w:pPr>
    </w:p>
    <w:p w:rsidR="00281832" w:rsidRPr="0008214B" w:rsidRDefault="001F1C29" w:rsidP="00281832">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AE7F1C" w:rsidRPr="0008214B" w:rsidRDefault="00AE7F1C" w:rsidP="00E600DE">
      <w:pPr>
        <w:spacing w:after="0"/>
        <w:rPr>
          <w:color w:val="365F91" w:themeColor="accent1" w:themeShade="BF"/>
          <w:sz w:val="24"/>
          <w:szCs w:val="24"/>
        </w:rPr>
      </w:pPr>
    </w:p>
    <w:p w:rsidR="002448F6" w:rsidRPr="0008214B" w:rsidRDefault="002448F6" w:rsidP="00E600DE">
      <w:pPr>
        <w:spacing w:after="0"/>
        <w:rPr>
          <w:color w:val="365F91" w:themeColor="accent1" w:themeShade="BF"/>
          <w:sz w:val="24"/>
          <w:szCs w:val="24"/>
        </w:rPr>
      </w:pPr>
      <w:r w:rsidRPr="0008214B">
        <w:rPr>
          <w:noProof/>
          <w:color w:val="365F91" w:themeColor="accent1" w:themeShade="BF"/>
          <w:sz w:val="24"/>
          <w:szCs w:val="24"/>
        </w:rPr>
        <w:lastRenderedPageBreak/>
        <w:drawing>
          <wp:inline distT="0" distB="0" distL="0" distR="0">
            <wp:extent cx="5486400" cy="3200400"/>
            <wp:effectExtent l="0" t="0" r="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448F6" w:rsidRPr="0008214B" w:rsidRDefault="002448F6" w:rsidP="00E600DE">
      <w:pPr>
        <w:spacing w:after="0"/>
        <w:rPr>
          <w:color w:val="365F91" w:themeColor="accent1" w:themeShade="BF"/>
          <w:sz w:val="24"/>
          <w:szCs w:val="24"/>
        </w:rPr>
      </w:pPr>
    </w:p>
    <w:p w:rsidR="001F1C29" w:rsidRPr="0008214B" w:rsidRDefault="001F1C29" w:rsidP="00E600DE">
      <w:pPr>
        <w:spacing w:after="0"/>
        <w:rPr>
          <w:color w:val="365F91" w:themeColor="accent1" w:themeShade="BF"/>
          <w:sz w:val="24"/>
          <w:szCs w:val="24"/>
        </w:rPr>
      </w:pPr>
      <w:r w:rsidRPr="0008214B">
        <w:rPr>
          <w:color w:val="365F91" w:themeColor="accent1" w:themeShade="BF"/>
          <w:sz w:val="24"/>
          <w:szCs w:val="24"/>
        </w:rPr>
        <w:t>What the data tells us:</w:t>
      </w:r>
    </w:p>
    <w:p w:rsidR="001F1C29" w:rsidRPr="0008214B" w:rsidRDefault="001F1C29" w:rsidP="001F1C29">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 xml:space="preserve">50.4% of Disabled staff at SPFT feel satisfied with the extent to which the Trust values their work. </w:t>
      </w:r>
      <w:r w:rsidR="00B16744" w:rsidRPr="0008214B">
        <w:rPr>
          <w:color w:val="365F91" w:themeColor="accent1" w:themeShade="BF"/>
          <w:sz w:val="24"/>
          <w:szCs w:val="24"/>
        </w:rPr>
        <w:t>This figure has increased year on year since 2018, and has risen 5.8% in total (50.4% in 2021</w:t>
      </w:r>
      <w:r w:rsidR="001142BB" w:rsidRPr="0008214B">
        <w:rPr>
          <w:color w:val="365F91" w:themeColor="accent1" w:themeShade="BF"/>
          <w:sz w:val="24"/>
          <w:szCs w:val="24"/>
        </w:rPr>
        <w:t xml:space="preserve"> compared to </w:t>
      </w:r>
      <w:r w:rsidR="00B16744" w:rsidRPr="0008214B">
        <w:rPr>
          <w:color w:val="365F91" w:themeColor="accent1" w:themeShade="BF"/>
          <w:sz w:val="24"/>
          <w:szCs w:val="24"/>
        </w:rPr>
        <w:t>44.6% in 2018).</w:t>
      </w:r>
    </w:p>
    <w:p w:rsidR="001F1C29" w:rsidRPr="0008214B" w:rsidRDefault="001F1C29" w:rsidP="001F1C29">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The Trust consistently performs above the benchmark group average on this metric, and is 6.8% above</w:t>
      </w:r>
      <w:r w:rsidR="00EF1178" w:rsidRPr="0008214B">
        <w:rPr>
          <w:color w:val="365F91" w:themeColor="accent1" w:themeShade="BF"/>
          <w:sz w:val="24"/>
          <w:szCs w:val="24"/>
        </w:rPr>
        <w:t xml:space="preserve"> the benchmark group average</w:t>
      </w:r>
      <w:r w:rsidRPr="0008214B">
        <w:rPr>
          <w:color w:val="365F91" w:themeColor="accent1" w:themeShade="BF"/>
          <w:sz w:val="24"/>
          <w:szCs w:val="24"/>
        </w:rPr>
        <w:t xml:space="preserve"> (50.4% - 43.6%) on the 2021 survey.</w:t>
      </w:r>
    </w:p>
    <w:p w:rsidR="001F1C29" w:rsidRDefault="002448F6" w:rsidP="001F1C29">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While there is still not parity of experience between Disabled and non-disabled SPFT staff, the disparity has decreased year on year since 2019 (8.1%) and is now 6.1% (56.5% - 50.4%).</w:t>
      </w:r>
    </w:p>
    <w:p w:rsidR="0000378B" w:rsidRDefault="0000378B" w:rsidP="0000378B">
      <w:pPr>
        <w:spacing w:after="0"/>
        <w:rPr>
          <w:color w:val="365F91" w:themeColor="accent1" w:themeShade="BF"/>
          <w:sz w:val="24"/>
          <w:szCs w:val="24"/>
        </w:rPr>
      </w:pPr>
    </w:p>
    <w:p w:rsidR="0000378B" w:rsidRDefault="0000378B" w:rsidP="0000378B">
      <w:pPr>
        <w:spacing w:after="0"/>
        <w:rPr>
          <w:color w:val="365F91" w:themeColor="accent1" w:themeShade="BF"/>
          <w:sz w:val="24"/>
          <w:szCs w:val="24"/>
        </w:rPr>
      </w:pPr>
      <w:r>
        <w:rPr>
          <w:color w:val="365F91" w:themeColor="accent1" w:themeShade="BF"/>
          <w:sz w:val="24"/>
          <w:szCs w:val="24"/>
        </w:rPr>
        <w:t xml:space="preserve">Actions against this metric on the Trust's 2022 WDES action plan </w:t>
      </w:r>
      <w:r w:rsidR="00B47A5C">
        <w:rPr>
          <w:color w:val="365F91" w:themeColor="accent1" w:themeShade="BF"/>
          <w:sz w:val="24"/>
          <w:szCs w:val="24"/>
        </w:rPr>
        <w:t xml:space="preserve">will </w:t>
      </w:r>
      <w:r>
        <w:rPr>
          <w:color w:val="365F91" w:themeColor="accent1" w:themeShade="BF"/>
          <w:sz w:val="24"/>
          <w:szCs w:val="24"/>
        </w:rPr>
        <w:t>focus on continuous engagement with and championing of D/deaf, Disabled and neurodivergent colleagues, and improving the accessibility of Trust-wide communications, including alt text, transcripts, captions, BSL interpretation, and Easy Read provision.</w:t>
      </w:r>
    </w:p>
    <w:p w:rsidR="0000378B" w:rsidRPr="0000378B" w:rsidRDefault="0000378B" w:rsidP="0000378B">
      <w:pPr>
        <w:spacing w:after="0"/>
        <w:rPr>
          <w:color w:val="365F91" w:themeColor="accent1" w:themeShade="BF"/>
          <w:sz w:val="24"/>
          <w:szCs w:val="24"/>
        </w:rPr>
      </w:pPr>
    </w:p>
    <w:p w:rsidR="00CF63C5" w:rsidRPr="0008214B" w:rsidRDefault="00CF63C5" w:rsidP="00CF63C5">
      <w:pPr>
        <w:spacing w:after="0"/>
        <w:rPr>
          <w:color w:val="365F91" w:themeColor="accent1" w:themeShade="BF"/>
          <w:sz w:val="36"/>
          <w:szCs w:val="36"/>
        </w:rPr>
      </w:pPr>
      <w:r w:rsidRPr="0008214B">
        <w:rPr>
          <w:color w:val="365F91" w:themeColor="accent1" w:themeShade="BF"/>
          <w:sz w:val="36"/>
          <w:szCs w:val="36"/>
        </w:rPr>
        <w:t>Metric 8</w:t>
      </w:r>
    </w:p>
    <w:p w:rsidR="00CF63C5" w:rsidRPr="0008214B" w:rsidRDefault="005037D2" w:rsidP="00CF63C5">
      <w:pPr>
        <w:spacing w:after="0"/>
        <w:rPr>
          <w:color w:val="365F91" w:themeColor="accent1" w:themeShade="BF"/>
          <w:sz w:val="24"/>
          <w:szCs w:val="24"/>
        </w:rPr>
      </w:pPr>
      <w:r w:rsidRPr="0008214B">
        <w:rPr>
          <w:color w:val="365F91" w:themeColor="accent1" w:themeShade="BF"/>
          <w:sz w:val="24"/>
          <w:szCs w:val="24"/>
        </w:rPr>
        <w:t>Percentage of Disabled staff saying that their empl</w:t>
      </w:r>
      <w:r w:rsidR="00236692" w:rsidRPr="0008214B">
        <w:rPr>
          <w:color w:val="365F91" w:themeColor="accent1" w:themeShade="BF"/>
          <w:sz w:val="24"/>
          <w:szCs w:val="24"/>
        </w:rPr>
        <w:t>oyer</w:t>
      </w:r>
      <w:r w:rsidRPr="0008214B">
        <w:rPr>
          <w:color w:val="365F91" w:themeColor="accent1" w:themeShade="BF"/>
          <w:sz w:val="24"/>
          <w:szCs w:val="24"/>
        </w:rPr>
        <w:t xml:space="preserve"> has made adequate adjustment(s) to enable them to carry out their work.</w:t>
      </w:r>
    </w:p>
    <w:p w:rsidR="001F1C29" w:rsidRPr="0008214B" w:rsidRDefault="001F1C29" w:rsidP="001F1C29">
      <w:pPr>
        <w:spacing w:after="0"/>
        <w:rPr>
          <w:color w:val="365F91" w:themeColor="accent1" w:themeShade="BF"/>
          <w:sz w:val="24"/>
          <w:szCs w:val="24"/>
        </w:rPr>
      </w:pPr>
    </w:p>
    <w:p w:rsidR="00236692" w:rsidRPr="0008214B" w:rsidRDefault="00236692" w:rsidP="00236692">
      <w:pPr>
        <w:spacing w:after="0"/>
        <w:rPr>
          <w:color w:val="365F91" w:themeColor="accent1" w:themeShade="BF"/>
          <w:sz w:val="24"/>
          <w:szCs w:val="24"/>
        </w:rPr>
      </w:pPr>
      <w:r w:rsidRPr="0008214B">
        <w:rPr>
          <w:color w:val="365F91" w:themeColor="accent1" w:themeShade="BF"/>
          <w:sz w:val="24"/>
          <w:szCs w:val="24"/>
        </w:rPr>
        <w:t>Notes: this is taken directly from Q2</w:t>
      </w:r>
      <w:r w:rsidR="00555E92">
        <w:rPr>
          <w:color w:val="365F91" w:themeColor="accent1" w:themeShade="BF"/>
          <w:sz w:val="24"/>
          <w:szCs w:val="24"/>
        </w:rPr>
        <w:t>8</w:t>
      </w:r>
      <w:bookmarkStart w:id="0" w:name="_GoBack"/>
      <w:bookmarkEnd w:id="0"/>
      <w:r w:rsidRPr="0008214B">
        <w:rPr>
          <w:color w:val="365F91" w:themeColor="accent1" w:themeShade="BF"/>
          <w:sz w:val="24"/>
          <w:szCs w:val="24"/>
        </w:rPr>
        <w:t>b of our 2021 NHS Staff Survey. Our benchmark group is made up of Mental Health, Learning Disability and Community Trusts.</w:t>
      </w:r>
    </w:p>
    <w:p w:rsidR="00236692" w:rsidRPr="0008214B" w:rsidRDefault="00236692" w:rsidP="001F1C29">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6C3B8E" w:rsidRPr="0008214B" w:rsidTr="006C3B8E">
        <w:tc>
          <w:tcPr>
            <w:tcW w:w="2254" w:type="dxa"/>
            <w:shd w:val="clear" w:color="auto" w:fill="F2F2F2" w:themeFill="background1" w:themeFillShade="F2"/>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Q2</w:t>
            </w:r>
            <w:r w:rsidR="00555E92">
              <w:rPr>
                <w:color w:val="365F91" w:themeColor="accent1" w:themeShade="BF"/>
                <w:sz w:val="24"/>
                <w:szCs w:val="24"/>
              </w:rPr>
              <w:t>8</w:t>
            </w:r>
            <w:r w:rsidRPr="0008214B">
              <w:rPr>
                <w:color w:val="365F91" w:themeColor="accent1" w:themeShade="BF"/>
                <w:sz w:val="24"/>
                <w:szCs w:val="24"/>
              </w:rPr>
              <w:t>b 2018-2021</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Number of SPFT responses</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 xml:space="preserve">SPFT percentage </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Benchmark group average (median)</w:t>
            </w:r>
          </w:p>
        </w:tc>
      </w:tr>
      <w:tr w:rsidR="006C3B8E" w:rsidRPr="0008214B" w:rsidTr="006C3B8E">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2018</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264</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77.3</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77.3</w:t>
            </w:r>
          </w:p>
        </w:tc>
      </w:tr>
      <w:tr w:rsidR="006C3B8E" w:rsidRPr="0008214B" w:rsidTr="006C3B8E">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lastRenderedPageBreak/>
              <w:t>2019</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371</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79.8</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76.9</w:t>
            </w:r>
          </w:p>
        </w:tc>
      </w:tr>
      <w:tr w:rsidR="006C3B8E" w:rsidRPr="0008214B" w:rsidTr="006C3B8E">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2020</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403</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82.6</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81.4</w:t>
            </w:r>
          </w:p>
        </w:tc>
      </w:tr>
      <w:tr w:rsidR="006C3B8E" w:rsidRPr="0008214B" w:rsidTr="006C3B8E">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2021</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482</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83.2</w:t>
            </w:r>
          </w:p>
        </w:tc>
        <w:tc>
          <w:tcPr>
            <w:tcW w:w="2254" w:type="dxa"/>
          </w:tcPr>
          <w:p w:rsidR="006C3B8E" w:rsidRPr="0008214B" w:rsidRDefault="006C3B8E" w:rsidP="006C3B8E">
            <w:pPr>
              <w:rPr>
                <w:color w:val="365F91" w:themeColor="accent1" w:themeShade="BF"/>
                <w:sz w:val="24"/>
                <w:szCs w:val="24"/>
              </w:rPr>
            </w:pPr>
            <w:r w:rsidRPr="0008214B">
              <w:rPr>
                <w:color w:val="365F91" w:themeColor="accent1" w:themeShade="BF"/>
                <w:sz w:val="24"/>
                <w:szCs w:val="24"/>
              </w:rPr>
              <w:t>78.8</w:t>
            </w:r>
          </w:p>
        </w:tc>
      </w:tr>
    </w:tbl>
    <w:p w:rsidR="00236692" w:rsidRPr="0008214B" w:rsidRDefault="00236692" w:rsidP="001F1C29">
      <w:pPr>
        <w:spacing w:after="0"/>
        <w:rPr>
          <w:color w:val="365F91" w:themeColor="accent1" w:themeShade="BF"/>
          <w:sz w:val="24"/>
          <w:szCs w:val="24"/>
        </w:rPr>
      </w:pPr>
    </w:p>
    <w:p w:rsidR="006C3B8E" w:rsidRPr="0008214B" w:rsidRDefault="006C3B8E" w:rsidP="001F1C29">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1F1C29" w:rsidRPr="0008214B" w:rsidRDefault="001F1C29" w:rsidP="001F1C29">
      <w:pPr>
        <w:spacing w:after="0"/>
        <w:rPr>
          <w:color w:val="365F91" w:themeColor="accent1" w:themeShade="BF"/>
          <w:sz w:val="24"/>
          <w:szCs w:val="24"/>
        </w:rPr>
      </w:pPr>
      <w:r w:rsidRPr="0008214B">
        <w:rPr>
          <w:color w:val="365F91" w:themeColor="accent1" w:themeShade="BF"/>
          <w:sz w:val="24"/>
          <w:szCs w:val="24"/>
        </w:rPr>
        <w:t xml:space="preserve"> </w:t>
      </w:r>
    </w:p>
    <w:p w:rsidR="00B21A27" w:rsidRPr="0008214B" w:rsidRDefault="00B21A27" w:rsidP="001F1C29">
      <w:pPr>
        <w:spacing w:after="0"/>
        <w:rPr>
          <w:color w:val="365F91" w:themeColor="accent1" w:themeShade="BF"/>
          <w:sz w:val="24"/>
          <w:szCs w:val="24"/>
        </w:rPr>
      </w:pPr>
      <w:r w:rsidRPr="0008214B">
        <w:rPr>
          <w:color w:val="365F91" w:themeColor="accent1" w:themeShade="BF"/>
          <w:sz w:val="24"/>
          <w:szCs w:val="24"/>
        </w:rPr>
        <w:t>What the data tells us:</w:t>
      </w:r>
    </w:p>
    <w:p w:rsidR="00B21A27" w:rsidRPr="0008214B" w:rsidRDefault="00B21A27" w:rsidP="00B21A27">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The percentage of Disabled staff at SPFT saying that the Trust has made adequate adjustment(s) to enable them to carry out their work has increased year on year since 2018, and has risen 5.9% in total, from 77.3% up to 83.2%.</w:t>
      </w:r>
    </w:p>
    <w:p w:rsidR="00B21A27" w:rsidRDefault="00B21A27" w:rsidP="00B21A27">
      <w:pPr>
        <w:pStyle w:val="ListParagraph"/>
        <w:numPr>
          <w:ilvl w:val="0"/>
          <w:numId w:val="6"/>
        </w:numPr>
        <w:spacing w:after="0"/>
        <w:rPr>
          <w:color w:val="365F91" w:themeColor="accent1" w:themeShade="BF"/>
          <w:sz w:val="24"/>
          <w:szCs w:val="24"/>
        </w:rPr>
      </w:pPr>
      <w:r w:rsidRPr="0008214B">
        <w:rPr>
          <w:color w:val="365F91" w:themeColor="accent1" w:themeShade="BF"/>
          <w:sz w:val="24"/>
          <w:szCs w:val="24"/>
        </w:rPr>
        <w:t>Whereas the benchmark group's progress against this metric has been</w:t>
      </w:r>
      <w:r w:rsidR="002122E7" w:rsidRPr="0008214B">
        <w:rPr>
          <w:color w:val="365F91" w:themeColor="accent1" w:themeShade="BF"/>
          <w:sz w:val="24"/>
          <w:szCs w:val="24"/>
        </w:rPr>
        <w:t xml:space="preserve"> erratic, and has decreased from 2020 to 2021, SPFT has shown a steady improvement in Disabled staff experience.</w:t>
      </w:r>
    </w:p>
    <w:p w:rsidR="00B47A5C" w:rsidRDefault="00B47A5C" w:rsidP="00B47A5C">
      <w:pPr>
        <w:spacing w:after="0"/>
        <w:rPr>
          <w:color w:val="365F91" w:themeColor="accent1" w:themeShade="BF"/>
          <w:sz w:val="24"/>
          <w:szCs w:val="24"/>
        </w:rPr>
      </w:pPr>
    </w:p>
    <w:p w:rsidR="00B47A5C" w:rsidRPr="00B47A5C" w:rsidRDefault="00B47A5C" w:rsidP="00B47A5C">
      <w:pPr>
        <w:spacing w:after="0"/>
        <w:rPr>
          <w:color w:val="365F91" w:themeColor="accent1" w:themeShade="BF"/>
          <w:sz w:val="24"/>
          <w:szCs w:val="24"/>
        </w:rPr>
      </w:pPr>
      <w:r>
        <w:rPr>
          <w:color w:val="365F91" w:themeColor="accent1" w:themeShade="BF"/>
          <w:sz w:val="24"/>
          <w:szCs w:val="24"/>
        </w:rPr>
        <w:t>The Trust is performing well against this metric, and its 2022 WDES action plan will include the establishment of a centralised fund for reasonable adjustments. This will streamline reasonable adjustments provision for Disabled staff, and ensure parity of experience across teams and services.</w:t>
      </w:r>
    </w:p>
    <w:p w:rsidR="002122E7" w:rsidRPr="0008214B" w:rsidRDefault="002122E7" w:rsidP="002122E7">
      <w:pPr>
        <w:spacing w:after="0"/>
        <w:rPr>
          <w:color w:val="365F91" w:themeColor="accent1" w:themeShade="BF"/>
          <w:sz w:val="24"/>
          <w:szCs w:val="24"/>
        </w:rPr>
      </w:pPr>
    </w:p>
    <w:p w:rsidR="002122E7" w:rsidRPr="0008214B" w:rsidRDefault="002122E7" w:rsidP="002122E7">
      <w:pPr>
        <w:spacing w:after="0"/>
        <w:rPr>
          <w:color w:val="365F91" w:themeColor="accent1" w:themeShade="BF"/>
          <w:sz w:val="36"/>
          <w:szCs w:val="36"/>
        </w:rPr>
      </w:pPr>
      <w:r w:rsidRPr="0008214B">
        <w:rPr>
          <w:color w:val="365F91" w:themeColor="accent1" w:themeShade="BF"/>
          <w:sz w:val="36"/>
          <w:szCs w:val="36"/>
        </w:rPr>
        <w:t>Metric 9a</w:t>
      </w:r>
    </w:p>
    <w:p w:rsidR="00166E9F" w:rsidRPr="0008214B" w:rsidRDefault="00166E9F" w:rsidP="00166E9F">
      <w:pPr>
        <w:pStyle w:val="Default"/>
        <w:numPr>
          <w:ilvl w:val="0"/>
          <w:numId w:val="7"/>
        </w:numPr>
        <w:rPr>
          <w:rFonts w:ascii="Calibri" w:hAnsi="Calibri" w:cs="Calibri"/>
          <w:color w:val="365F91" w:themeColor="accent1" w:themeShade="BF"/>
        </w:rPr>
      </w:pPr>
      <w:r w:rsidRPr="0008214B">
        <w:rPr>
          <w:rFonts w:ascii="Calibri" w:hAnsi="Calibri" w:cs="Calibri"/>
          <w:bCs/>
          <w:color w:val="365F91" w:themeColor="accent1" w:themeShade="BF"/>
        </w:rPr>
        <w:t>The staff engagement score for Disabled staff, compared to non-disabled staff.</w:t>
      </w:r>
    </w:p>
    <w:p w:rsidR="00104E9F" w:rsidRPr="0008214B" w:rsidRDefault="00104E9F" w:rsidP="00104E9F">
      <w:pPr>
        <w:pStyle w:val="Default"/>
        <w:rPr>
          <w:rFonts w:ascii="Calibri" w:hAnsi="Calibri" w:cs="Calibri"/>
          <w:color w:val="365F91" w:themeColor="accent1" w:themeShade="BF"/>
        </w:rPr>
      </w:pPr>
    </w:p>
    <w:p w:rsidR="002122E7" w:rsidRPr="0008214B" w:rsidRDefault="00104E9F" w:rsidP="002122E7">
      <w:pPr>
        <w:spacing w:after="0"/>
        <w:rPr>
          <w:color w:val="365F91" w:themeColor="accent1" w:themeShade="BF"/>
          <w:sz w:val="24"/>
          <w:szCs w:val="24"/>
        </w:rPr>
      </w:pPr>
      <w:r w:rsidRPr="0008214B">
        <w:rPr>
          <w:color w:val="365F91" w:themeColor="accent1" w:themeShade="BF"/>
          <w:sz w:val="24"/>
          <w:szCs w:val="24"/>
        </w:rPr>
        <w:t>Notes: this is taken directly from the staff engagement score (0-10) of our 2021 NHS Staff Survey. Our benchmark group is made up of Mental Health, Learning Disability and Community Trusts.</w:t>
      </w:r>
    </w:p>
    <w:p w:rsidR="00104E9F" w:rsidRPr="0008214B" w:rsidRDefault="00104E9F" w:rsidP="002122E7">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104E9F" w:rsidRPr="0008214B" w:rsidTr="00EC66E2">
        <w:tc>
          <w:tcPr>
            <w:tcW w:w="2254" w:type="dxa"/>
            <w:shd w:val="clear" w:color="auto" w:fill="F2F2F2" w:themeFill="background1" w:themeFillShade="F2"/>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lastRenderedPageBreak/>
              <w:t>Staff engagement score (0-10) 2021</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Number of SPFT responses</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SPFT staff engagement score</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Benchmark group average (median)</w:t>
            </w:r>
          </w:p>
        </w:tc>
      </w:tr>
      <w:tr w:rsidR="00104E9F" w:rsidRPr="0008214B" w:rsidTr="00EC66E2">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Disabled</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791</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6.8</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6.7</w:t>
            </w:r>
          </w:p>
        </w:tc>
      </w:tr>
      <w:tr w:rsidR="00104E9F" w:rsidRPr="0008214B" w:rsidTr="00EC66E2">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Non-disabled</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1,901</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7.1</w:t>
            </w:r>
          </w:p>
        </w:tc>
        <w:tc>
          <w:tcPr>
            <w:tcW w:w="2254" w:type="dxa"/>
          </w:tcPr>
          <w:p w:rsidR="00104E9F" w:rsidRPr="0008214B" w:rsidRDefault="00104E9F" w:rsidP="00EC66E2">
            <w:pPr>
              <w:rPr>
                <w:color w:val="365F91" w:themeColor="accent1" w:themeShade="BF"/>
                <w:sz w:val="24"/>
                <w:szCs w:val="24"/>
              </w:rPr>
            </w:pPr>
            <w:r w:rsidRPr="0008214B">
              <w:rPr>
                <w:color w:val="365F91" w:themeColor="accent1" w:themeShade="BF"/>
                <w:sz w:val="24"/>
                <w:szCs w:val="24"/>
              </w:rPr>
              <w:t>7.2</w:t>
            </w:r>
          </w:p>
        </w:tc>
      </w:tr>
    </w:tbl>
    <w:p w:rsidR="00104E9F" w:rsidRPr="0008214B" w:rsidRDefault="00104E9F" w:rsidP="002122E7">
      <w:pPr>
        <w:spacing w:after="0"/>
        <w:rPr>
          <w:color w:val="365F91" w:themeColor="accent1" w:themeShade="BF"/>
          <w:sz w:val="24"/>
          <w:szCs w:val="24"/>
        </w:rPr>
      </w:pPr>
    </w:p>
    <w:p w:rsidR="00B21A27" w:rsidRPr="0008214B" w:rsidRDefault="00104E9F" w:rsidP="001F1C29">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A03CC3" w:rsidRPr="0008214B" w:rsidRDefault="00A03CC3" w:rsidP="001F1C29">
      <w:pPr>
        <w:spacing w:after="0"/>
        <w:rPr>
          <w:color w:val="365F91" w:themeColor="accent1" w:themeShade="BF"/>
          <w:sz w:val="24"/>
          <w:szCs w:val="24"/>
        </w:rPr>
      </w:pPr>
    </w:p>
    <w:p w:rsidR="00A03CC3" w:rsidRPr="0008214B" w:rsidRDefault="008652CF" w:rsidP="001F1C29">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104E9F" w:rsidRPr="0008214B" w:rsidRDefault="00104E9F" w:rsidP="001F1C29">
      <w:pPr>
        <w:spacing w:after="0"/>
        <w:rPr>
          <w:color w:val="365F91" w:themeColor="accent1" w:themeShade="BF"/>
          <w:sz w:val="24"/>
          <w:szCs w:val="24"/>
        </w:rPr>
      </w:pPr>
    </w:p>
    <w:p w:rsidR="008652CF" w:rsidRPr="0008214B" w:rsidRDefault="008652CF" w:rsidP="001F1C29">
      <w:pPr>
        <w:spacing w:after="0"/>
        <w:rPr>
          <w:color w:val="365F91" w:themeColor="accent1" w:themeShade="BF"/>
          <w:sz w:val="24"/>
          <w:szCs w:val="24"/>
        </w:rPr>
      </w:pPr>
      <w:r w:rsidRPr="0008214B">
        <w:rPr>
          <w:color w:val="365F91" w:themeColor="accent1" w:themeShade="BF"/>
          <w:sz w:val="24"/>
          <w:szCs w:val="24"/>
        </w:rPr>
        <w:t>What the data tells us:</w:t>
      </w:r>
    </w:p>
    <w:p w:rsidR="008652CF" w:rsidRPr="0008214B" w:rsidRDefault="008652CF" w:rsidP="008652CF">
      <w:pPr>
        <w:pStyle w:val="ListParagraph"/>
        <w:numPr>
          <w:ilvl w:val="0"/>
          <w:numId w:val="8"/>
        </w:numPr>
        <w:spacing w:after="0"/>
        <w:rPr>
          <w:color w:val="365F91" w:themeColor="accent1" w:themeShade="BF"/>
          <w:sz w:val="24"/>
          <w:szCs w:val="24"/>
        </w:rPr>
      </w:pPr>
      <w:r w:rsidRPr="0008214B">
        <w:rPr>
          <w:color w:val="365F91" w:themeColor="accent1" w:themeShade="BF"/>
          <w:sz w:val="24"/>
          <w:szCs w:val="24"/>
        </w:rPr>
        <w:t xml:space="preserve">The Trust's Disabled staff engagement score has been </w:t>
      </w:r>
      <w:r w:rsidR="009946C6" w:rsidRPr="0008214B">
        <w:rPr>
          <w:color w:val="365F91" w:themeColor="accent1" w:themeShade="BF"/>
          <w:sz w:val="24"/>
          <w:szCs w:val="24"/>
        </w:rPr>
        <w:t xml:space="preserve">slightly </w:t>
      </w:r>
      <w:r w:rsidRPr="0008214B">
        <w:rPr>
          <w:color w:val="365F91" w:themeColor="accent1" w:themeShade="BF"/>
          <w:sz w:val="24"/>
          <w:szCs w:val="24"/>
        </w:rPr>
        <w:t>above the benchmark group average since 2018</w:t>
      </w:r>
      <w:r w:rsidR="009946C6" w:rsidRPr="0008214B">
        <w:rPr>
          <w:color w:val="365F91" w:themeColor="accent1" w:themeShade="BF"/>
          <w:sz w:val="24"/>
          <w:szCs w:val="24"/>
        </w:rPr>
        <w:t>. It is currently 6.8 compared to the average of 6.7, but this is a year on year decrease as it was 7.0 compared to 6.8 in 2020.</w:t>
      </w:r>
    </w:p>
    <w:p w:rsidR="009946C6" w:rsidRPr="0008214B" w:rsidRDefault="009946C6" w:rsidP="008652CF">
      <w:pPr>
        <w:pStyle w:val="ListParagraph"/>
        <w:numPr>
          <w:ilvl w:val="0"/>
          <w:numId w:val="8"/>
        </w:numPr>
        <w:spacing w:after="0"/>
        <w:rPr>
          <w:color w:val="365F91" w:themeColor="accent1" w:themeShade="BF"/>
          <w:sz w:val="24"/>
          <w:szCs w:val="24"/>
        </w:rPr>
      </w:pPr>
      <w:r w:rsidRPr="0008214B">
        <w:rPr>
          <w:color w:val="365F91" w:themeColor="accent1" w:themeShade="BF"/>
          <w:sz w:val="24"/>
          <w:szCs w:val="24"/>
        </w:rPr>
        <w:lastRenderedPageBreak/>
        <w:t>The Trust's non-disabled staff engagement score, by contrast, is slightly below the benchmark group average; 7.1 compared to 7.2.</w:t>
      </w:r>
    </w:p>
    <w:p w:rsidR="009946C6" w:rsidRDefault="009946C6" w:rsidP="008652CF">
      <w:pPr>
        <w:pStyle w:val="ListParagraph"/>
        <w:numPr>
          <w:ilvl w:val="0"/>
          <w:numId w:val="8"/>
        </w:numPr>
        <w:spacing w:after="0"/>
        <w:rPr>
          <w:color w:val="365F91" w:themeColor="accent1" w:themeShade="BF"/>
          <w:sz w:val="24"/>
          <w:szCs w:val="24"/>
        </w:rPr>
      </w:pPr>
      <w:r w:rsidRPr="0008214B">
        <w:rPr>
          <w:color w:val="365F91" w:themeColor="accent1" w:themeShade="BF"/>
          <w:sz w:val="24"/>
          <w:szCs w:val="24"/>
        </w:rPr>
        <w:t>There is still not parity of engagement between Disabled staff and non-disabled staff at SPFT. This metric requires focused actions on the Trust's 2022 WDES action plan as the gap between the scores for Disabled staff and non-disabled staff has widened in 2021. The disparity was 0.2 (7.2 - 7.0) in 2020, and 0.3 (7.1 - 6.8) in 2021.</w:t>
      </w:r>
    </w:p>
    <w:p w:rsidR="00EE42F6" w:rsidRDefault="00EE42F6" w:rsidP="00EE42F6">
      <w:pPr>
        <w:spacing w:after="0"/>
        <w:rPr>
          <w:color w:val="365F91" w:themeColor="accent1" w:themeShade="BF"/>
          <w:sz w:val="24"/>
          <w:szCs w:val="24"/>
        </w:rPr>
      </w:pPr>
    </w:p>
    <w:p w:rsidR="008652CF" w:rsidRDefault="00EE42F6" w:rsidP="001F1C29">
      <w:pPr>
        <w:spacing w:after="0"/>
        <w:rPr>
          <w:color w:val="365F91" w:themeColor="accent1" w:themeShade="BF"/>
          <w:sz w:val="24"/>
          <w:szCs w:val="24"/>
        </w:rPr>
      </w:pPr>
      <w:r w:rsidRPr="0008214B">
        <w:rPr>
          <w:color w:val="365F91" w:themeColor="accent1" w:themeShade="BF"/>
          <w:sz w:val="24"/>
          <w:szCs w:val="24"/>
        </w:rPr>
        <w:t xml:space="preserve">This metric </w:t>
      </w:r>
      <w:r>
        <w:rPr>
          <w:color w:val="365F91" w:themeColor="accent1" w:themeShade="BF"/>
          <w:sz w:val="24"/>
          <w:szCs w:val="24"/>
        </w:rPr>
        <w:t>will be given</w:t>
      </w:r>
      <w:r w:rsidRPr="0008214B">
        <w:rPr>
          <w:color w:val="365F91" w:themeColor="accent1" w:themeShade="BF"/>
          <w:sz w:val="24"/>
          <w:szCs w:val="24"/>
        </w:rPr>
        <w:t xml:space="preserve"> focused actions on the Trust's 2022 WDES action plan</w:t>
      </w:r>
      <w:r>
        <w:rPr>
          <w:color w:val="365F91" w:themeColor="accent1" w:themeShade="BF"/>
          <w:sz w:val="24"/>
          <w:szCs w:val="24"/>
        </w:rPr>
        <w:t>, including</w:t>
      </w:r>
      <w:r w:rsidR="007F6454">
        <w:rPr>
          <w:color w:val="365F91" w:themeColor="accent1" w:themeShade="BF"/>
          <w:sz w:val="24"/>
          <w:szCs w:val="24"/>
        </w:rPr>
        <w:t xml:space="preserve"> boosting</w:t>
      </w:r>
      <w:r w:rsidR="007F6454" w:rsidRPr="007F6454">
        <w:rPr>
          <w:color w:val="365F91" w:themeColor="accent1" w:themeShade="BF"/>
          <w:sz w:val="24"/>
          <w:szCs w:val="24"/>
        </w:rPr>
        <w:t xml:space="preserve"> the visibility</w:t>
      </w:r>
      <w:r w:rsidR="007F6454">
        <w:rPr>
          <w:color w:val="365F91" w:themeColor="accent1" w:themeShade="BF"/>
          <w:sz w:val="24"/>
          <w:szCs w:val="24"/>
        </w:rPr>
        <w:t xml:space="preserve">, </w:t>
      </w:r>
      <w:r w:rsidR="007F6454" w:rsidRPr="007F6454">
        <w:rPr>
          <w:color w:val="365F91" w:themeColor="accent1" w:themeShade="BF"/>
          <w:sz w:val="24"/>
          <w:szCs w:val="24"/>
        </w:rPr>
        <w:t>reach</w:t>
      </w:r>
      <w:r w:rsidR="007F6454">
        <w:rPr>
          <w:color w:val="365F91" w:themeColor="accent1" w:themeShade="BF"/>
          <w:sz w:val="24"/>
          <w:szCs w:val="24"/>
        </w:rPr>
        <w:t>, and</w:t>
      </w:r>
      <w:r w:rsidR="007F6454" w:rsidRPr="007F6454">
        <w:rPr>
          <w:color w:val="365F91" w:themeColor="accent1" w:themeShade="BF"/>
          <w:sz w:val="24"/>
          <w:szCs w:val="24"/>
        </w:rPr>
        <w:t xml:space="preserve"> membership of the Disability Staff Network, the Neurodivergent Staff Network and the Valuing Lived Experience (</w:t>
      </w:r>
      <w:proofErr w:type="spellStart"/>
      <w:r w:rsidR="007F6454" w:rsidRPr="007F6454">
        <w:rPr>
          <w:color w:val="365F91" w:themeColor="accent1" w:themeShade="BF"/>
          <w:sz w:val="24"/>
          <w:szCs w:val="24"/>
        </w:rPr>
        <w:t>VaLE</w:t>
      </w:r>
      <w:proofErr w:type="spellEnd"/>
      <w:r w:rsidR="007F6454" w:rsidRPr="007F6454">
        <w:rPr>
          <w:color w:val="365F91" w:themeColor="accent1" w:themeShade="BF"/>
          <w:sz w:val="24"/>
          <w:szCs w:val="24"/>
        </w:rPr>
        <w:t xml:space="preserve">) Mental Health Staff Network, measured </w:t>
      </w:r>
      <w:r w:rsidR="007F6454">
        <w:rPr>
          <w:color w:val="365F91" w:themeColor="accent1" w:themeShade="BF"/>
          <w:sz w:val="24"/>
          <w:szCs w:val="24"/>
        </w:rPr>
        <w:t>via</w:t>
      </w:r>
      <w:r w:rsidR="007F6454" w:rsidRPr="007F6454">
        <w:rPr>
          <w:color w:val="365F91" w:themeColor="accent1" w:themeShade="BF"/>
          <w:sz w:val="24"/>
          <w:szCs w:val="24"/>
        </w:rPr>
        <w:t xml:space="preserve"> </w:t>
      </w:r>
      <w:r w:rsidR="007F6454">
        <w:rPr>
          <w:color w:val="365F91" w:themeColor="accent1" w:themeShade="BF"/>
          <w:sz w:val="24"/>
          <w:szCs w:val="24"/>
        </w:rPr>
        <w:t xml:space="preserve">a new </w:t>
      </w:r>
      <w:r w:rsidR="007F6454" w:rsidRPr="007F6454">
        <w:rPr>
          <w:color w:val="365F91" w:themeColor="accent1" w:themeShade="BF"/>
          <w:sz w:val="24"/>
          <w:szCs w:val="24"/>
        </w:rPr>
        <w:t>staff networks' benchmarking</w:t>
      </w:r>
      <w:r w:rsidR="007F6454">
        <w:rPr>
          <w:color w:val="365F91" w:themeColor="accent1" w:themeShade="BF"/>
          <w:sz w:val="24"/>
          <w:szCs w:val="24"/>
        </w:rPr>
        <w:t xml:space="preserve"> system</w:t>
      </w:r>
      <w:r w:rsidR="007F6454" w:rsidRPr="007F6454">
        <w:rPr>
          <w:color w:val="365F91" w:themeColor="accent1" w:themeShade="BF"/>
          <w:sz w:val="24"/>
          <w:szCs w:val="24"/>
        </w:rPr>
        <w:t>.</w:t>
      </w:r>
    </w:p>
    <w:p w:rsidR="007F6454" w:rsidRPr="0008214B" w:rsidRDefault="007F6454" w:rsidP="001F1C29">
      <w:pPr>
        <w:spacing w:after="0"/>
        <w:rPr>
          <w:color w:val="365F91" w:themeColor="accent1" w:themeShade="BF"/>
          <w:sz w:val="24"/>
          <w:szCs w:val="24"/>
        </w:rPr>
      </w:pPr>
    </w:p>
    <w:p w:rsidR="00BC75BB" w:rsidRPr="0008214B" w:rsidRDefault="00A71BFC" w:rsidP="001F1C29">
      <w:pPr>
        <w:spacing w:after="0"/>
        <w:rPr>
          <w:color w:val="365F91" w:themeColor="accent1" w:themeShade="BF"/>
          <w:sz w:val="36"/>
          <w:szCs w:val="36"/>
        </w:rPr>
      </w:pPr>
      <w:r w:rsidRPr="0008214B">
        <w:rPr>
          <w:color w:val="365F91" w:themeColor="accent1" w:themeShade="BF"/>
          <w:sz w:val="36"/>
          <w:szCs w:val="36"/>
        </w:rPr>
        <w:t>Metric 9b</w:t>
      </w:r>
    </w:p>
    <w:p w:rsidR="00A71BFC" w:rsidRPr="0008214B" w:rsidRDefault="00A71BFC" w:rsidP="001F1C29">
      <w:pPr>
        <w:spacing w:after="0"/>
        <w:rPr>
          <w:color w:val="365F91" w:themeColor="accent1" w:themeShade="BF"/>
          <w:sz w:val="24"/>
          <w:szCs w:val="24"/>
        </w:rPr>
      </w:pPr>
      <w:r w:rsidRPr="0008214B">
        <w:rPr>
          <w:color w:val="365F91" w:themeColor="accent1" w:themeShade="BF"/>
          <w:sz w:val="24"/>
          <w:szCs w:val="24"/>
        </w:rPr>
        <w:t xml:space="preserve">Have you </w:t>
      </w:r>
      <w:proofErr w:type="gramStart"/>
      <w:r w:rsidRPr="0008214B">
        <w:rPr>
          <w:color w:val="365F91" w:themeColor="accent1" w:themeShade="BF"/>
          <w:sz w:val="24"/>
          <w:szCs w:val="24"/>
        </w:rPr>
        <w:t>taken action</w:t>
      </w:r>
      <w:proofErr w:type="gramEnd"/>
      <w:r w:rsidRPr="0008214B">
        <w:rPr>
          <w:color w:val="365F91" w:themeColor="accent1" w:themeShade="BF"/>
          <w:sz w:val="24"/>
          <w:szCs w:val="24"/>
        </w:rPr>
        <w:t xml:space="preserve"> to facilitate the voices of Disabled staff in your organisation to be heard?</w:t>
      </w:r>
    </w:p>
    <w:p w:rsidR="00A71BFC" w:rsidRPr="0008214B" w:rsidRDefault="00A71BFC" w:rsidP="001F1C29">
      <w:pPr>
        <w:spacing w:after="0"/>
        <w:rPr>
          <w:color w:val="365F91" w:themeColor="accent1" w:themeShade="BF"/>
          <w:sz w:val="24"/>
          <w:szCs w:val="24"/>
        </w:rPr>
      </w:pPr>
    </w:p>
    <w:p w:rsidR="00A71BFC" w:rsidRPr="0008214B" w:rsidRDefault="00035157" w:rsidP="001F1C29">
      <w:pPr>
        <w:spacing w:after="0"/>
        <w:rPr>
          <w:color w:val="365F91" w:themeColor="accent1" w:themeShade="BF"/>
          <w:sz w:val="24"/>
          <w:szCs w:val="24"/>
        </w:rPr>
      </w:pPr>
      <w:r w:rsidRPr="0008214B">
        <w:rPr>
          <w:color w:val="365F91" w:themeColor="accent1" w:themeShade="BF"/>
          <w:sz w:val="24"/>
          <w:szCs w:val="24"/>
        </w:rPr>
        <w:t xml:space="preserve">Yes - the Trust has appointed a Staff Network Coordinator to provide administrative and project support to all the staff networks, including the Disability Staff Network, the Neurodivergent Staff Network and the Valuing Lived Experience (VaLE) Mental Health Staff Network. All our staff networks have active and engaged Executive Sponsors, and an annual £5,000 budget for network member development, and network events and initiatives.  </w:t>
      </w:r>
    </w:p>
    <w:p w:rsidR="00035157" w:rsidRPr="0008214B" w:rsidRDefault="00035157" w:rsidP="001F1C29">
      <w:pPr>
        <w:spacing w:after="0"/>
        <w:rPr>
          <w:color w:val="365F91" w:themeColor="accent1" w:themeShade="BF"/>
          <w:sz w:val="24"/>
          <w:szCs w:val="24"/>
        </w:rPr>
      </w:pPr>
    </w:p>
    <w:p w:rsidR="00035157" w:rsidRPr="0008214B" w:rsidRDefault="00035157" w:rsidP="001F1C29">
      <w:pPr>
        <w:spacing w:after="0"/>
        <w:rPr>
          <w:color w:val="365F91" w:themeColor="accent1" w:themeShade="BF"/>
          <w:sz w:val="24"/>
          <w:szCs w:val="24"/>
        </w:rPr>
      </w:pPr>
      <w:r w:rsidRPr="0008214B">
        <w:rPr>
          <w:color w:val="365F91" w:themeColor="accent1" w:themeShade="BF"/>
          <w:sz w:val="24"/>
          <w:szCs w:val="24"/>
        </w:rPr>
        <w:t xml:space="preserve">The Disability Staff Network </w:t>
      </w:r>
      <w:r w:rsidR="00182032" w:rsidRPr="0008214B">
        <w:rPr>
          <w:color w:val="365F91" w:themeColor="accent1" w:themeShade="BF"/>
          <w:sz w:val="24"/>
          <w:szCs w:val="24"/>
        </w:rPr>
        <w:t>has 400 people on its mailing list and has put forward ground-breaking initiatives, including remuneration for network members attending network meetings outside of their working hours, ensuring bank staff, night staff and staff working part time are not unfairly disadvantaged and helping everyone to engage with network planning and events.</w:t>
      </w:r>
      <w:r w:rsidR="005A23BD" w:rsidRPr="0008214B">
        <w:rPr>
          <w:color w:val="365F91" w:themeColor="accent1" w:themeShade="BF"/>
          <w:sz w:val="24"/>
          <w:szCs w:val="24"/>
        </w:rPr>
        <w:t xml:space="preserve"> Network members attending meetings outside of their working hours </w:t>
      </w:r>
      <w:r w:rsidR="00F95364" w:rsidRPr="0008214B">
        <w:rPr>
          <w:color w:val="365F91" w:themeColor="accent1" w:themeShade="BF"/>
          <w:sz w:val="24"/>
          <w:szCs w:val="24"/>
        </w:rPr>
        <w:t>can now receive bank payments or time off in lieu (TOIL) for up to 24 hours a year.</w:t>
      </w:r>
    </w:p>
    <w:p w:rsidR="004C6F23" w:rsidRPr="0008214B" w:rsidRDefault="004C6F23" w:rsidP="001F1C29">
      <w:pPr>
        <w:spacing w:after="0"/>
        <w:rPr>
          <w:color w:val="365F91" w:themeColor="accent1" w:themeShade="BF"/>
          <w:sz w:val="24"/>
          <w:szCs w:val="24"/>
        </w:rPr>
      </w:pPr>
    </w:p>
    <w:p w:rsidR="004C6F23" w:rsidRPr="0008214B" w:rsidRDefault="004C6F23" w:rsidP="001F1C29">
      <w:pPr>
        <w:spacing w:after="0"/>
        <w:rPr>
          <w:color w:val="365F91" w:themeColor="accent1" w:themeShade="BF"/>
          <w:sz w:val="36"/>
          <w:szCs w:val="36"/>
        </w:rPr>
      </w:pPr>
      <w:r w:rsidRPr="0008214B">
        <w:rPr>
          <w:color w:val="365F91" w:themeColor="accent1" w:themeShade="BF"/>
          <w:sz w:val="36"/>
          <w:szCs w:val="36"/>
        </w:rPr>
        <w:t>Metric 10</w:t>
      </w:r>
    </w:p>
    <w:p w:rsidR="004C6F23" w:rsidRPr="0008214B" w:rsidRDefault="004C6F23" w:rsidP="004C6F23">
      <w:pPr>
        <w:spacing w:after="0"/>
        <w:rPr>
          <w:color w:val="365F91" w:themeColor="accent1" w:themeShade="BF"/>
          <w:sz w:val="24"/>
          <w:szCs w:val="24"/>
        </w:rPr>
      </w:pPr>
      <w:r w:rsidRPr="0008214B">
        <w:rPr>
          <w:color w:val="365F91" w:themeColor="accent1" w:themeShade="BF"/>
          <w:sz w:val="24"/>
          <w:szCs w:val="24"/>
        </w:rPr>
        <w:t>Percentage difference between the organisation’s Board voting membership and its organisation’s overall workforce, disaggregated by:</w:t>
      </w:r>
    </w:p>
    <w:p w:rsidR="004C6F23" w:rsidRPr="0008214B" w:rsidRDefault="004C6F23" w:rsidP="004C6F23">
      <w:pPr>
        <w:pStyle w:val="ListParagraph"/>
        <w:numPr>
          <w:ilvl w:val="0"/>
          <w:numId w:val="9"/>
        </w:numPr>
        <w:spacing w:after="0"/>
        <w:rPr>
          <w:color w:val="365F91" w:themeColor="accent1" w:themeShade="BF"/>
          <w:sz w:val="24"/>
          <w:szCs w:val="24"/>
        </w:rPr>
      </w:pPr>
      <w:r w:rsidRPr="0008214B">
        <w:rPr>
          <w:color w:val="365F91" w:themeColor="accent1" w:themeShade="BF"/>
          <w:sz w:val="24"/>
          <w:szCs w:val="24"/>
        </w:rPr>
        <w:t>Voting membership of the Board</w:t>
      </w:r>
    </w:p>
    <w:p w:rsidR="004C6F23" w:rsidRPr="0008214B" w:rsidRDefault="004C6F23" w:rsidP="004C6F23">
      <w:pPr>
        <w:pStyle w:val="ListParagraph"/>
        <w:numPr>
          <w:ilvl w:val="0"/>
          <w:numId w:val="9"/>
        </w:numPr>
        <w:spacing w:after="0"/>
        <w:rPr>
          <w:color w:val="365F91" w:themeColor="accent1" w:themeShade="BF"/>
          <w:sz w:val="24"/>
          <w:szCs w:val="24"/>
        </w:rPr>
      </w:pPr>
      <w:r w:rsidRPr="0008214B">
        <w:rPr>
          <w:color w:val="365F91" w:themeColor="accent1" w:themeShade="BF"/>
          <w:sz w:val="24"/>
          <w:szCs w:val="24"/>
        </w:rPr>
        <w:t>Executive membership of the Board</w:t>
      </w:r>
    </w:p>
    <w:p w:rsidR="00C00820" w:rsidRPr="0008214B" w:rsidRDefault="00C00820" w:rsidP="00C00820">
      <w:pPr>
        <w:spacing w:after="0"/>
        <w:rPr>
          <w:color w:val="365F91" w:themeColor="accent1" w:themeShade="BF"/>
          <w:sz w:val="24"/>
          <w:szCs w:val="24"/>
        </w:rPr>
      </w:pPr>
    </w:p>
    <w:p w:rsidR="00C00820" w:rsidRPr="0008214B" w:rsidRDefault="00C00820" w:rsidP="00C00820">
      <w:pPr>
        <w:spacing w:after="0"/>
        <w:rPr>
          <w:color w:val="365F91" w:themeColor="accent1" w:themeShade="BF"/>
          <w:sz w:val="24"/>
          <w:szCs w:val="24"/>
        </w:rPr>
      </w:pPr>
      <w:r w:rsidRPr="0008214B">
        <w:rPr>
          <w:color w:val="365F91" w:themeColor="accent1" w:themeShade="BF"/>
          <w:sz w:val="24"/>
          <w:szCs w:val="24"/>
        </w:rPr>
        <w:t>Note: this data is taken at year end, i.e. 31</w:t>
      </w:r>
      <w:r w:rsidRPr="0008214B">
        <w:rPr>
          <w:color w:val="365F91" w:themeColor="accent1" w:themeShade="BF"/>
          <w:sz w:val="24"/>
          <w:szCs w:val="24"/>
          <w:vertAlign w:val="superscript"/>
        </w:rPr>
        <w:t>st</w:t>
      </w:r>
      <w:r w:rsidRPr="0008214B">
        <w:rPr>
          <w:color w:val="365F91" w:themeColor="accent1" w:themeShade="BF"/>
          <w:sz w:val="24"/>
          <w:szCs w:val="24"/>
        </w:rPr>
        <w:t xml:space="preserve"> March 2022.</w:t>
      </w:r>
    </w:p>
    <w:p w:rsidR="004C6F23" w:rsidRPr="0008214B" w:rsidRDefault="004C6F23" w:rsidP="004C6F23">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906"/>
        <w:gridCol w:w="1494"/>
        <w:gridCol w:w="1710"/>
        <w:gridCol w:w="1953"/>
        <w:gridCol w:w="1953"/>
      </w:tblGrid>
      <w:tr w:rsidR="00EC66E2" w:rsidRPr="0008214B" w:rsidTr="00EC66E2">
        <w:tc>
          <w:tcPr>
            <w:tcW w:w="1906" w:type="dxa"/>
            <w:shd w:val="clear" w:color="auto" w:fill="F2F2F2" w:themeFill="background1" w:themeFillShade="F2"/>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Board breakdown 2022</w:t>
            </w:r>
          </w:p>
        </w:tc>
        <w:tc>
          <w:tcPr>
            <w:tcW w:w="1494" w:type="dxa"/>
          </w:tcPr>
          <w:p w:rsidR="00EC66E2" w:rsidRPr="0008214B" w:rsidRDefault="00C00820" w:rsidP="004C6F23">
            <w:pPr>
              <w:rPr>
                <w:color w:val="365F91" w:themeColor="accent1" w:themeShade="BF"/>
                <w:sz w:val="24"/>
                <w:szCs w:val="24"/>
              </w:rPr>
            </w:pPr>
            <w:r w:rsidRPr="0008214B">
              <w:rPr>
                <w:color w:val="365F91" w:themeColor="accent1" w:themeShade="BF"/>
                <w:sz w:val="24"/>
                <w:szCs w:val="24"/>
              </w:rPr>
              <w:t>Workforce</w:t>
            </w:r>
          </w:p>
        </w:tc>
        <w:tc>
          <w:tcPr>
            <w:tcW w:w="1710"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Board</w:t>
            </w:r>
          </w:p>
        </w:tc>
        <w:tc>
          <w:tcPr>
            <w:tcW w:w="1953"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Voting membership</w:t>
            </w:r>
          </w:p>
        </w:tc>
        <w:tc>
          <w:tcPr>
            <w:tcW w:w="1953"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Executive membership</w:t>
            </w:r>
          </w:p>
        </w:tc>
      </w:tr>
      <w:tr w:rsidR="00EC66E2" w:rsidRPr="0008214B" w:rsidTr="00EC66E2">
        <w:tc>
          <w:tcPr>
            <w:tcW w:w="1906"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Disabled</w:t>
            </w:r>
          </w:p>
        </w:tc>
        <w:tc>
          <w:tcPr>
            <w:tcW w:w="1494" w:type="dxa"/>
          </w:tcPr>
          <w:p w:rsidR="00EC66E2" w:rsidRPr="0008214B" w:rsidRDefault="00C00820" w:rsidP="00EC66E2">
            <w:pPr>
              <w:jc w:val="both"/>
              <w:rPr>
                <w:color w:val="365F91" w:themeColor="accent1" w:themeShade="BF"/>
                <w:sz w:val="24"/>
                <w:szCs w:val="24"/>
              </w:rPr>
            </w:pPr>
            <w:r w:rsidRPr="0008214B">
              <w:rPr>
                <w:color w:val="365F91" w:themeColor="accent1" w:themeShade="BF"/>
                <w:sz w:val="24"/>
                <w:szCs w:val="24"/>
              </w:rPr>
              <w:t>592</w:t>
            </w:r>
          </w:p>
        </w:tc>
        <w:tc>
          <w:tcPr>
            <w:tcW w:w="1710" w:type="dxa"/>
          </w:tcPr>
          <w:p w:rsidR="00EC66E2" w:rsidRPr="0008214B" w:rsidRDefault="00EC66E2" w:rsidP="00EC66E2">
            <w:pPr>
              <w:jc w:val="both"/>
              <w:rPr>
                <w:color w:val="365F91" w:themeColor="accent1" w:themeShade="BF"/>
                <w:sz w:val="24"/>
                <w:szCs w:val="24"/>
              </w:rPr>
            </w:pPr>
            <w:r w:rsidRPr="0008214B">
              <w:rPr>
                <w:color w:val="365F91" w:themeColor="accent1" w:themeShade="BF"/>
                <w:sz w:val="24"/>
                <w:szCs w:val="24"/>
              </w:rPr>
              <w:t>0</w:t>
            </w:r>
          </w:p>
        </w:tc>
        <w:tc>
          <w:tcPr>
            <w:tcW w:w="1953"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0</w:t>
            </w:r>
          </w:p>
        </w:tc>
        <w:tc>
          <w:tcPr>
            <w:tcW w:w="1953"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0</w:t>
            </w:r>
          </w:p>
        </w:tc>
      </w:tr>
      <w:tr w:rsidR="00EC66E2" w:rsidRPr="0008214B" w:rsidTr="00EC66E2">
        <w:tc>
          <w:tcPr>
            <w:tcW w:w="1906"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lastRenderedPageBreak/>
              <w:t>Non-disabled</w:t>
            </w:r>
          </w:p>
        </w:tc>
        <w:tc>
          <w:tcPr>
            <w:tcW w:w="1494" w:type="dxa"/>
          </w:tcPr>
          <w:p w:rsidR="00EC66E2" w:rsidRPr="0008214B" w:rsidRDefault="00C00820" w:rsidP="004C6F23">
            <w:pPr>
              <w:rPr>
                <w:color w:val="365F91" w:themeColor="accent1" w:themeShade="BF"/>
                <w:sz w:val="24"/>
                <w:szCs w:val="24"/>
              </w:rPr>
            </w:pPr>
            <w:r w:rsidRPr="0008214B">
              <w:rPr>
                <w:color w:val="365F91" w:themeColor="accent1" w:themeShade="BF"/>
                <w:sz w:val="24"/>
                <w:szCs w:val="24"/>
              </w:rPr>
              <w:t>4,472</w:t>
            </w:r>
          </w:p>
        </w:tc>
        <w:tc>
          <w:tcPr>
            <w:tcW w:w="1710"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13</w:t>
            </w:r>
          </w:p>
        </w:tc>
        <w:tc>
          <w:tcPr>
            <w:tcW w:w="1953"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10</w:t>
            </w:r>
          </w:p>
        </w:tc>
        <w:tc>
          <w:tcPr>
            <w:tcW w:w="1953"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6</w:t>
            </w:r>
          </w:p>
        </w:tc>
      </w:tr>
      <w:tr w:rsidR="00EC66E2" w:rsidRPr="0008214B" w:rsidTr="00EC66E2">
        <w:tc>
          <w:tcPr>
            <w:tcW w:w="1906"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Unknown</w:t>
            </w:r>
          </w:p>
        </w:tc>
        <w:tc>
          <w:tcPr>
            <w:tcW w:w="1494" w:type="dxa"/>
          </w:tcPr>
          <w:p w:rsidR="00EC66E2" w:rsidRPr="0008214B" w:rsidRDefault="00C00820" w:rsidP="004C6F23">
            <w:pPr>
              <w:rPr>
                <w:color w:val="365F91" w:themeColor="accent1" w:themeShade="BF"/>
                <w:sz w:val="24"/>
                <w:szCs w:val="24"/>
              </w:rPr>
            </w:pPr>
            <w:r w:rsidRPr="0008214B">
              <w:rPr>
                <w:color w:val="365F91" w:themeColor="accent1" w:themeShade="BF"/>
                <w:sz w:val="24"/>
                <w:szCs w:val="24"/>
              </w:rPr>
              <w:t>611</w:t>
            </w:r>
          </w:p>
        </w:tc>
        <w:tc>
          <w:tcPr>
            <w:tcW w:w="1710"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4</w:t>
            </w:r>
          </w:p>
        </w:tc>
        <w:tc>
          <w:tcPr>
            <w:tcW w:w="1953"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3</w:t>
            </w:r>
          </w:p>
        </w:tc>
        <w:tc>
          <w:tcPr>
            <w:tcW w:w="1953" w:type="dxa"/>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3</w:t>
            </w:r>
          </w:p>
        </w:tc>
      </w:tr>
      <w:tr w:rsidR="00EC66E2" w:rsidRPr="0008214B" w:rsidTr="00866E72">
        <w:tc>
          <w:tcPr>
            <w:tcW w:w="1906" w:type="dxa"/>
            <w:tcBorders>
              <w:bottom w:val="single" w:sz="4" w:space="0" w:color="auto"/>
            </w:tcBorders>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Total</w:t>
            </w:r>
          </w:p>
        </w:tc>
        <w:tc>
          <w:tcPr>
            <w:tcW w:w="1494" w:type="dxa"/>
            <w:tcBorders>
              <w:bottom w:val="single" w:sz="4" w:space="0" w:color="auto"/>
            </w:tcBorders>
          </w:tcPr>
          <w:p w:rsidR="00EC66E2" w:rsidRPr="0008214B" w:rsidRDefault="00C00820" w:rsidP="004C6F23">
            <w:pPr>
              <w:rPr>
                <w:color w:val="365F91" w:themeColor="accent1" w:themeShade="BF"/>
                <w:sz w:val="24"/>
                <w:szCs w:val="24"/>
              </w:rPr>
            </w:pPr>
            <w:r w:rsidRPr="0008214B">
              <w:rPr>
                <w:color w:val="365F91" w:themeColor="accent1" w:themeShade="BF"/>
                <w:sz w:val="24"/>
                <w:szCs w:val="24"/>
              </w:rPr>
              <w:t>5,675</w:t>
            </w:r>
          </w:p>
        </w:tc>
        <w:tc>
          <w:tcPr>
            <w:tcW w:w="1710" w:type="dxa"/>
            <w:tcBorders>
              <w:bottom w:val="single" w:sz="4" w:space="0" w:color="auto"/>
            </w:tcBorders>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17</w:t>
            </w:r>
          </w:p>
        </w:tc>
        <w:tc>
          <w:tcPr>
            <w:tcW w:w="1953" w:type="dxa"/>
            <w:tcBorders>
              <w:bottom w:val="single" w:sz="4" w:space="0" w:color="auto"/>
            </w:tcBorders>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13</w:t>
            </w:r>
          </w:p>
        </w:tc>
        <w:tc>
          <w:tcPr>
            <w:tcW w:w="1953" w:type="dxa"/>
            <w:tcBorders>
              <w:bottom w:val="single" w:sz="4" w:space="0" w:color="auto"/>
            </w:tcBorders>
          </w:tcPr>
          <w:p w:rsidR="00EC66E2" w:rsidRPr="0008214B" w:rsidRDefault="00EC66E2" w:rsidP="004C6F23">
            <w:pPr>
              <w:rPr>
                <w:color w:val="365F91" w:themeColor="accent1" w:themeShade="BF"/>
                <w:sz w:val="24"/>
                <w:szCs w:val="24"/>
              </w:rPr>
            </w:pPr>
            <w:r w:rsidRPr="0008214B">
              <w:rPr>
                <w:color w:val="365F91" w:themeColor="accent1" w:themeShade="BF"/>
                <w:sz w:val="24"/>
                <w:szCs w:val="24"/>
              </w:rPr>
              <w:t>9</w:t>
            </w:r>
          </w:p>
        </w:tc>
      </w:tr>
      <w:tr w:rsidR="00866E72" w:rsidRPr="0008214B" w:rsidTr="00866E72">
        <w:tc>
          <w:tcPr>
            <w:tcW w:w="1906" w:type="dxa"/>
            <w:tcBorders>
              <w:left w:val="nil"/>
              <w:right w:val="nil"/>
            </w:tcBorders>
          </w:tcPr>
          <w:p w:rsidR="00866E72" w:rsidRPr="0008214B" w:rsidRDefault="00866E72" w:rsidP="004C6F23">
            <w:pPr>
              <w:rPr>
                <w:color w:val="365F91" w:themeColor="accent1" w:themeShade="BF"/>
                <w:sz w:val="24"/>
                <w:szCs w:val="24"/>
              </w:rPr>
            </w:pPr>
          </w:p>
        </w:tc>
        <w:tc>
          <w:tcPr>
            <w:tcW w:w="1494" w:type="dxa"/>
            <w:tcBorders>
              <w:left w:val="nil"/>
              <w:right w:val="nil"/>
            </w:tcBorders>
          </w:tcPr>
          <w:p w:rsidR="00866E72" w:rsidRPr="0008214B" w:rsidRDefault="00866E72" w:rsidP="004C6F23">
            <w:pPr>
              <w:rPr>
                <w:color w:val="365F91" w:themeColor="accent1" w:themeShade="BF"/>
                <w:sz w:val="24"/>
                <w:szCs w:val="24"/>
              </w:rPr>
            </w:pPr>
          </w:p>
        </w:tc>
        <w:tc>
          <w:tcPr>
            <w:tcW w:w="1710" w:type="dxa"/>
            <w:tcBorders>
              <w:left w:val="nil"/>
              <w:right w:val="nil"/>
            </w:tcBorders>
          </w:tcPr>
          <w:p w:rsidR="00866E72" w:rsidRPr="0008214B" w:rsidRDefault="00866E72" w:rsidP="004C6F23">
            <w:pPr>
              <w:rPr>
                <w:color w:val="365F91" w:themeColor="accent1" w:themeShade="BF"/>
                <w:sz w:val="24"/>
                <w:szCs w:val="24"/>
              </w:rPr>
            </w:pPr>
          </w:p>
        </w:tc>
        <w:tc>
          <w:tcPr>
            <w:tcW w:w="1953" w:type="dxa"/>
            <w:tcBorders>
              <w:left w:val="nil"/>
              <w:right w:val="nil"/>
            </w:tcBorders>
          </w:tcPr>
          <w:p w:rsidR="00866E72" w:rsidRPr="0008214B" w:rsidRDefault="00866E72" w:rsidP="004C6F23">
            <w:pPr>
              <w:rPr>
                <w:color w:val="365F91" w:themeColor="accent1" w:themeShade="BF"/>
                <w:sz w:val="24"/>
                <w:szCs w:val="24"/>
              </w:rPr>
            </w:pPr>
          </w:p>
        </w:tc>
        <w:tc>
          <w:tcPr>
            <w:tcW w:w="1953" w:type="dxa"/>
            <w:tcBorders>
              <w:left w:val="nil"/>
              <w:right w:val="nil"/>
            </w:tcBorders>
          </w:tcPr>
          <w:p w:rsidR="00866E72" w:rsidRPr="0008214B" w:rsidRDefault="00866E72" w:rsidP="004C6F23">
            <w:pPr>
              <w:rPr>
                <w:color w:val="365F91" w:themeColor="accent1" w:themeShade="BF"/>
                <w:sz w:val="24"/>
                <w:szCs w:val="24"/>
              </w:rPr>
            </w:pPr>
          </w:p>
        </w:tc>
      </w:tr>
      <w:tr w:rsidR="00EC66E2" w:rsidRPr="0008214B" w:rsidTr="006D1EB0">
        <w:tc>
          <w:tcPr>
            <w:tcW w:w="1906" w:type="dxa"/>
            <w:shd w:val="clear" w:color="auto" w:fill="F2F2F2" w:themeFill="background1" w:themeFillShade="F2"/>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Board % breakdown 2022</w:t>
            </w:r>
          </w:p>
        </w:tc>
        <w:tc>
          <w:tcPr>
            <w:tcW w:w="1494"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Workforce %</w:t>
            </w:r>
          </w:p>
        </w:tc>
        <w:tc>
          <w:tcPr>
            <w:tcW w:w="1710"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Board %</w:t>
            </w:r>
          </w:p>
        </w:tc>
        <w:tc>
          <w:tcPr>
            <w:tcW w:w="1953"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Voting membership %</w:t>
            </w:r>
          </w:p>
        </w:tc>
        <w:tc>
          <w:tcPr>
            <w:tcW w:w="1953"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Executive membership %</w:t>
            </w:r>
          </w:p>
        </w:tc>
      </w:tr>
      <w:tr w:rsidR="00EC66E2" w:rsidRPr="0008214B" w:rsidTr="00EC66E2">
        <w:tc>
          <w:tcPr>
            <w:tcW w:w="1906"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Disabled</w:t>
            </w:r>
          </w:p>
        </w:tc>
        <w:tc>
          <w:tcPr>
            <w:tcW w:w="1494" w:type="dxa"/>
          </w:tcPr>
          <w:p w:rsidR="00EC66E2" w:rsidRPr="0008214B" w:rsidRDefault="00EC66E2" w:rsidP="00EC66E2">
            <w:pPr>
              <w:jc w:val="both"/>
              <w:rPr>
                <w:color w:val="365F91" w:themeColor="accent1" w:themeShade="BF"/>
                <w:sz w:val="24"/>
                <w:szCs w:val="24"/>
              </w:rPr>
            </w:pPr>
            <w:r w:rsidRPr="0008214B">
              <w:rPr>
                <w:color w:val="365F91" w:themeColor="accent1" w:themeShade="BF"/>
                <w:sz w:val="24"/>
                <w:szCs w:val="24"/>
              </w:rPr>
              <w:t>10.43</w:t>
            </w:r>
          </w:p>
        </w:tc>
        <w:tc>
          <w:tcPr>
            <w:tcW w:w="1710" w:type="dxa"/>
          </w:tcPr>
          <w:p w:rsidR="00EC66E2" w:rsidRPr="0008214B" w:rsidRDefault="00EC66E2" w:rsidP="00EC66E2">
            <w:pPr>
              <w:jc w:val="both"/>
              <w:rPr>
                <w:color w:val="365F91" w:themeColor="accent1" w:themeShade="BF"/>
                <w:sz w:val="24"/>
                <w:szCs w:val="24"/>
              </w:rPr>
            </w:pPr>
            <w:r w:rsidRPr="0008214B">
              <w:rPr>
                <w:color w:val="365F91" w:themeColor="accent1" w:themeShade="BF"/>
                <w:sz w:val="24"/>
                <w:szCs w:val="24"/>
              </w:rPr>
              <w:t>0</w:t>
            </w:r>
          </w:p>
        </w:tc>
        <w:tc>
          <w:tcPr>
            <w:tcW w:w="1953"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0</w:t>
            </w:r>
          </w:p>
        </w:tc>
        <w:tc>
          <w:tcPr>
            <w:tcW w:w="1953"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0</w:t>
            </w:r>
          </w:p>
        </w:tc>
      </w:tr>
      <w:tr w:rsidR="00EC66E2" w:rsidRPr="0008214B" w:rsidTr="00EC66E2">
        <w:tc>
          <w:tcPr>
            <w:tcW w:w="1906"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Non-disabled</w:t>
            </w:r>
          </w:p>
        </w:tc>
        <w:tc>
          <w:tcPr>
            <w:tcW w:w="1494" w:type="dxa"/>
          </w:tcPr>
          <w:p w:rsidR="00EC66E2" w:rsidRPr="0008214B" w:rsidRDefault="006D1EB0" w:rsidP="00EC66E2">
            <w:pPr>
              <w:rPr>
                <w:color w:val="365F91" w:themeColor="accent1" w:themeShade="BF"/>
                <w:sz w:val="24"/>
                <w:szCs w:val="24"/>
              </w:rPr>
            </w:pPr>
            <w:r w:rsidRPr="0008214B">
              <w:rPr>
                <w:color w:val="365F91" w:themeColor="accent1" w:themeShade="BF"/>
                <w:sz w:val="24"/>
                <w:szCs w:val="24"/>
              </w:rPr>
              <w:t>78.80</w:t>
            </w:r>
          </w:p>
        </w:tc>
        <w:tc>
          <w:tcPr>
            <w:tcW w:w="1710" w:type="dxa"/>
          </w:tcPr>
          <w:p w:rsidR="00EC66E2" w:rsidRPr="0008214B" w:rsidRDefault="006D1EB0" w:rsidP="00EC66E2">
            <w:pPr>
              <w:rPr>
                <w:color w:val="365F91" w:themeColor="accent1" w:themeShade="BF"/>
                <w:sz w:val="24"/>
                <w:szCs w:val="24"/>
              </w:rPr>
            </w:pPr>
            <w:r w:rsidRPr="0008214B">
              <w:rPr>
                <w:color w:val="365F91" w:themeColor="accent1" w:themeShade="BF"/>
                <w:sz w:val="24"/>
                <w:szCs w:val="24"/>
              </w:rPr>
              <w:t>76.47</w:t>
            </w:r>
          </w:p>
        </w:tc>
        <w:tc>
          <w:tcPr>
            <w:tcW w:w="1953" w:type="dxa"/>
          </w:tcPr>
          <w:p w:rsidR="00EC66E2" w:rsidRPr="0008214B" w:rsidRDefault="006D1EB0" w:rsidP="00EC66E2">
            <w:pPr>
              <w:rPr>
                <w:color w:val="365F91" w:themeColor="accent1" w:themeShade="BF"/>
                <w:sz w:val="24"/>
                <w:szCs w:val="24"/>
              </w:rPr>
            </w:pPr>
            <w:r w:rsidRPr="0008214B">
              <w:rPr>
                <w:color w:val="365F91" w:themeColor="accent1" w:themeShade="BF"/>
                <w:sz w:val="24"/>
                <w:szCs w:val="24"/>
              </w:rPr>
              <w:t>76.92</w:t>
            </w:r>
          </w:p>
        </w:tc>
        <w:tc>
          <w:tcPr>
            <w:tcW w:w="1953" w:type="dxa"/>
          </w:tcPr>
          <w:p w:rsidR="00EC66E2" w:rsidRPr="0008214B" w:rsidRDefault="006D1EB0" w:rsidP="00EC66E2">
            <w:pPr>
              <w:rPr>
                <w:color w:val="365F91" w:themeColor="accent1" w:themeShade="BF"/>
                <w:sz w:val="24"/>
                <w:szCs w:val="24"/>
              </w:rPr>
            </w:pPr>
            <w:r w:rsidRPr="0008214B">
              <w:rPr>
                <w:color w:val="365F91" w:themeColor="accent1" w:themeShade="BF"/>
                <w:sz w:val="24"/>
                <w:szCs w:val="24"/>
              </w:rPr>
              <w:t>66.67</w:t>
            </w:r>
          </w:p>
        </w:tc>
      </w:tr>
      <w:tr w:rsidR="00EC66E2" w:rsidRPr="0008214B" w:rsidTr="00EC66E2">
        <w:tc>
          <w:tcPr>
            <w:tcW w:w="1906" w:type="dxa"/>
          </w:tcPr>
          <w:p w:rsidR="00EC66E2" w:rsidRPr="0008214B" w:rsidRDefault="00EC66E2" w:rsidP="00EC66E2">
            <w:pPr>
              <w:rPr>
                <w:color w:val="365F91" w:themeColor="accent1" w:themeShade="BF"/>
                <w:sz w:val="24"/>
                <w:szCs w:val="24"/>
              </w:rPr>
            </w:pPr>
            <w:r w:rsidRPr="0008214B">
              <w:rPr>
                <w:color w:val="365F91" w:themeColor="accent1" w:themeShade="BF"/>
                <w:sz w:val="24"/>
                <w:szCs w:val="24"/>
              </w:rPr>
              <w:t>Unknown</w:t>
            </w:r>
          </w:p>
        </w:tc>
        <w:tc>
          <w:tcPr>
            <w:tcW w:w="1494" w:type="dxa"/>
          </w:tcPr>
          <w:p w:rsidR="00EC66E2" w:rsidRPr="0008214B" w:rsidRDefault="006D1EB0" w:rsidP="00EC66E2">
            <w:pPr>
              <w:rPr>
                <w:color w:val="365F91" w:themeColor="accent1" w:themeShade="BF"/>
                <w:sz w:val="24"/>
                <w:szCs w:val="24"/>
              </w:rPr>
            </w:pPr>
            <w:r w:rsidRPr="0008214B">
              <w:rPr>
                <w:color w:val="365F91" w:themeColor="accent1" w:themeShade="BF"/>
                <w:sz w:val="24"/>
                <w:szCs w:val="24"/>
              </w:rPr>
              <w:t>10.77</w:t>
            </w:r>
          </w:p>
        </w:tc>
        <w:tc>
          <w:tcPr>
            <w:tcW w:w="1710" w:type="dxa"/>
          </w:tcPr>
          <w:p w:rsidR="00EC66E2" w:rsidRPr="0008214B" w:rsidRDefault="006D1EB0" w:rsidP="00EC66E2">
            <w:pPr>
              <w:rPr>
                <w:color w:val="365F91" w:themeColor="accent1" w:themeShade="BF"/>
                <w:sz w:val="24"/>
                <w:szCs w:val="24"/>
              </w:rPr>
            </w:pPr>
            <w:r w:rsidRPr="0008214B">
              <w:rPr>
                <w:color w:val="365F91" w:themeColor="accent1" w:themeShade="BF"/>
                <w:sz w:val="24"/>
                <w:szCs w:val="24"/>
              </w:rPr>
              <w:t>23.53</w:t>
            </w:r>
          </w:p>
        </w:tc>
        <w:tc>
          <w:tcPr>
            <w:tcW w:w="1953" w:type="dxa"/>
          </w:tcPr>
          <w:p w:rsidR="00EC66E2" w:rsidRPr="0008214B" w:rsidRDefault="006D1EB0" w:rsidP="00EC66E2">
            <w:pPr>
              <w:rPr>
                <w:color w:val="365F91" w:themeColor="accent1" w:themeShade="BF"/>
                <w:sz w:val="24"/>
                <w:szCs w:val="24"/>
              </w:rPr>
            </w:pPr>
            <w:r w:rsidRPr="0008214B">
              <w:rPr>
                <w:color w:val="365F91" w:themeColor="accent1" w:themeShade="BF"/>
                <w:sz w:val="24"/>
                <w:szCs w:val="24"/>
              </w:rPr>
              <w:t>23.08</w:t>
            </w:r>
          </w:p>
        </w:tc>
        <w:tc>
          <w:tcPr>
            <w:tcW w:w="1953" w:type="dxa"/>
          </w:tcPr>
          <w:p w:rsidR="00EC66E2" w:rsidRPr="0008214B" w:rsidRDefault="006D1EB0" w:rsidP="00EC66E2">
            <w:pPr>
              <w:rPr>
                <w:color w:val="365F91" w:themeColor="accent1" w:themeShade="BF"/>
                <w:sz w:val="24"/>
                <w:szCs w:val="24"/>
              </w:rPr>
            </w:pPr>
            <w:r w:rsidRPr="0008214B">
              <w:rPr>
                <w:color w:val="365F91" w:themeColor="accent1" w:themeShade="BF"/>
                <w:sz w:val="24"/>
                <w:szCs w:val="24"/>
              </w:rPr>
              <w:t>33.33</w:t>
            </w:r>
          </w:p>
        </w:tc>
      </w:tr>
    </w:tbl>
    <w:p w:rsidR="00EC66E2" w:rsidRPr="0008214B" w:rsidRDefault="00EC66E2" w:rsidP="004C6F23">
      <w:pPr>
        <w:spacing w:after="0"/>
        <w:rPr>
          <w:color w:val="365F91" w:themeColor="accent1" w:themeShade="BF"/>
          <w:sz w:val="24"/>
          <w:szCs w:val="24"/>
        </w:rPr>
      </w:pPr>
    </w:p>
    <w:p w:rsidR="004C6F23" w:rsidRPr="0008214B" w:rsidRDefault="006D1EB0" w:rsidP="004C6F23">
      <w:pPr>
        <w:spacing w:after="0"/>
        <w:rPr>
          <w:color w:val="365F91" w:themeColor="accent1" w:themeShade="BF"/>
          <w:sz w:val="24"/>
          <w:szCs w:val="24"/>
        </w:rPr>
      </w:pPr>
      <w:r w:rsidRPr="0008214B">
        <w:rPr>
          <w:noProof/>
          <w:color w:val="365F91" w:themeColor="accent1" w:themeShade="BF"/>
          <w:sz w:val="24"/>
          <w:szCs w:val="24"/>
        </w:rPr>
        <w:drawing>
          <wp:inline distT="0" distB="0" distL="0" distR="0">
            <wp:extent cx="5486400" cy="3200400"/>
            <wp:effectExtent l="0" t="0" r="0" b="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C00820" w:rsidRPr="0008214B" w:rsidRDefault="00C00820" w:rsidP="004C6F23">
      <w:pPr>
        <w:spacing w:after="0"/>
        <w:rPr>
          <w:color w:val="365F91" w:themeColor="accent1" w:themeShade="BF"/>
          <w:sz w:val="24"/>
          <w:szCs w:val="24"/>
        </w:rPr>
      </w:pPr>
    </w:p>
    <w:p w:rsidR="00C00820" w:rsidRPr="0008214B" w:rsidRDefault="00C00820" w:rsidP="004C6F23">
      <w:pPr>
        <w:spacing w:after="0"/>
        <w:rPr>
          <w:color w:val="365F91" w:themeColor="accent1" w:themeShade="BF"/>
          <w:sz w:val="24"/>
          <w:szCs w:val="24"/>
        </w:rPr>
      </w:pPr>
      <w:r w:rsidRPr="0008214B">
        <w:rPr>
          <w:color w:val="365F91" w:themeColor="accent1" w:themeShade="BF"/>
          <w:sz w:val="24"/>
          <w:szCs w:val="24"/>
        </w:rPr>
        <w:t>What the data tells us:</w:t>
      </w:r>
    </w:p>
    <w:p w:rsidR="00C00820" w:rsidRPr="0008214B" w:rsidRDefault="00C00820" w:rsidP="00C00820">
      <w:pPr>
        <w:pStyle w:val="ListParagraph"/>
        <w:numPr>
          <w:ilvl w:val="0"/>
          <w:numId w:val="9"/>
        </w:numPr>
        <w:spacing w:after="0"/>
        <w:rPr>
          <w:color w:val="365F91" w:themeColor="accent1" w:themeShade="BF"/>
          <w:sz w:val="24"/>
          <w:szCs w:val="24"/>
        </w:rPr>
      </w:pPr>
      <w:r w:rsidRPr="0008214B">
        <w:rPr>
          <w:color w:val="365F91" w:themeColor="accent1" w:themeShade="BF"/>
          <w:sz w:val="24"/>
          <w:szCs w:val="24"/>
        </w:rPr>
        <w:t>Disabled staff make up 10.43% of the overall workforce. As there are no Disabled members of the Board, the percentage difference between the workforce and the Board, its voting membership and its Executive membership is -10.43%.</w:t>
      </w:r>
    </w:p>
    <w:p w:rsidR="00C00820" w:rsidRDefault="00C00820" w:rsidP="00C00820">
      <w:pPr>
        <w:pStyle w:val="ListParagraph"/>
        <w:numPr>
          <w:ilvl w:val="0"/>
          <w:numId w:val="9"/>
        </w:numPr>
        <w:spacing w:after="0"/>
        <w:rPr>
          <w:color w:val="365F91" w:themeColor="accent1" w:themeShade="BF"/>
          <w:sz w:val="24"/>
          <w:szCs w:val="24"/>
        </w:rPr>
      </w:pPr>
      <w:r w:rsidRPr="0008214B">
        <w:rPr>
          <w:color w:val="365F91" w:themeColor="accent1" w:themeShade="BF"/>
          <w:sz w:val="24"/>
          <w:szCs w:val="24"/>
        </w:rPr>
        <w:t>As there are no Disabled members of the Board, and 23.53% of the Board have not shared their disability status on ESR, this metric requires focused actions on the Trust's 2022 WDES action plan.</w:t>
      </w:r>
    </w:p>
    <w:p w:rsidR="007F6454" w:rsidRPr="007F6454" w:rsidRDefault="007F6454" w:rsidP="007F6454">
      <w:pPr>
        <w:spacing w:after="0"/>
        <w:rPr>
          <w:color w:val="365F91" w:themeColor="accent1" w:themeShade="BF"/>
          <w:sz w:val="24"/>
          <w:szCs w:val="24"/>
        </w:rPr>
      </w:pPr>
    </w:p>
    <w:p w:rsidR="008652CF" w:rsidRDefault="007F6454" w:rsidP="001F1C29">
      <w:pPr>
        <w:spacing w:after="0"/>
        <w:rPr>
          <w:color w:val="365F91" w:themeColor="accent1" w:themeShade="BF"/>
          <w:sz w:val="24"/>
          <w:szCs w:val="24"/>
        </w:rPr>
      </w:pPr>
      <w:r w:rsidRPr="0008214B">
        <w:rPr>
          <w:color w:val="365F91" w:themeColor="accent1" w:themeShade="BF"/>
          <w:sz w:val="24"/>
          <w:szCs w:val="24"/>
        </w:rPr>
        <w:t>This metric requires focused actions on the Trust's 2022 WDES action plan</w:t>
      </w:r>
      <w:r>
        <w:rPr>
          <w:color w:val="365F91" w:themeColor="accent1" w:themeShade="BF"/>
          <w:sz w:val="24"/>
          <w:szCs w:val="24"/>
        </w:rPr>
        <w:t>. The Trust's new Inclusive Recruitment Advisor will be involved in all future Board appointments, and Board members will be invited to both play an active role in the Trust's WDES Innovation Fund work programme and attend Scope Get Inclusive workshops.</w:t>
      </w:r>
    </w:p>
    <w:p w:rsidR="007F6454" w:rsidRPr="0008214B" w:rsidRDefault="007F6454" w:rsidP="001F1C29">
      <w:pPr>
        <w:spacing w:after="0"/>
        <w:rPr>
          <w:color w:val="365F91" w:themeColor="accent1" w:themeShade="BF"/>
          <w:sz w:val="24"/>
          <w:szCs w:val="24"/>
        </w:rPr>
      </w:pPr>
    </w:p>
    <w:p w:rsidR="0072064C" w:rsidRPr="0008214B" w:rsidRDefault="0072064C" w:rsidP="00E600DE">
      <w:pPr>
        <w:spacing w:after="0"/>
        <w:rPr>
          <w:color w:val="365F91" w:themeColor="accent1" w:themeShade="BF"/>
          <w:sz w:val="36"/>
          <w:szCs w:val="36"/>
        </w:rPr>
      </w:pPr>
      <w:r w:rsidRPr="0008214B">
        <w:rPr>
          <w:color w:val="365F91" w:themeColor="accent1" w:themeShade="BF"/>
          <w:sz w:val="36"/>
          <w:szCs w:val="36"/>
        </w:rPr>
        <w:t>Summary</w:t>
      </w:r>
    </w:p>
    <w:p w:rsidR="0029330E" w:rsidRPr="0008214B" w:rsidRDefault="00030805" w:rsidP="006C46DA">
      <w:pPr>
        <w:spacing w:after="0"/>
        <w:rPr>
          <w:color w:val="365F91" w:themeColor="accent1" w:themeShade="BF"/>
          <w:sz w:val="24"/>
          <w:szCs w:val="24"/>
        </w:rPr>
      </w:pPr>
      <w:r w:rsidRPr="0008214B">
        <w:rPr>
          <w:color w:val="365F91" w:themeColor="accent1" w:themeShade="BF"/>
          <w:sz w:val="24"/>
          <w:szCs w:val="24"/>
        </w:rPr>
        <w:lastRenderedPageBreak/>
        <w:t>As a Trust, we are dedicated to recruiting</w:t>
      </w:r>
      <w:r w:rsidR="0029330E" w:rsidRPr="0008214B">
        <w:rPr>
          <w:color w:val="365F91" w:themeColor="accent1" w:themeShade="BF"/>
          <w:sz w:val="24"/>
          <w:szCs w:val="24"/>
        </w:rPr>
        <w:t xml:space="preserve"> and developing Disabled staff across our teams and services. Our disability declaration rate has increased year on year since the WDES' inception, and Disabled staff now make up 10.43% of our workforce. At interview, the relative likelihood of non-disabled staff being appointed compared to Disabled staff is 0.92, and 83.2% of our Disabled staff say we have made adequate adjustments to enable them to carry out their work</w:t>
      </w:r>
      <w:r w:rsidR="00080952" w:rsidRPr="0008214B">
        <w:rPr>
          <w:color w:val="365F91" w:themeColor="accent1" w:themeShade="BF"/>
          <w:sz w:val="24"/>
          <w:szCs w:val="24"/>
        </w:rPr>
        <w:t>, 4.4% above our benchmark group's average of 78.8%.</w:t>
      </w:r>
    </w:p>
    <w:p w:rsidR="00080952" w:rsidRPr="0008214B" w:rsidRDefault="00080952" w:rsidP="006C46DA">
      <w:pPr>
        <w:spacing w:after="0"/>
        <w:rPr>
          <w:color w:val="365F91" w:themeColor="accent1" w:themeShade="BF"/>
          <w:sz w:val="24"/>
          <w:szCs w:val="24"/>
        </w:rPr>
      </w:pPr>
    </w:p>
    <w:p w:rsidR="00080952" w:rsidRPr="0008214B" w:rsidRDefault="00080952" w:rsidP="006C46DA">
      <w:pPr>
        <w:spacing w:after="0"/>
        <w:rPr>
          <w:color w:val="365F91" w:themeColor="accent1" w:themeShade="BF"/>
          <w:sz w:val="24"/>
          <w:szCs w:val="24"/>
        </w:rPr>
      </w:pPr>
      <w:r w:rsidRPr="0008214B">
        <w:rPr>
          <w:color w:val="365F91" w:themeColor="accent1" w:themeShade="BF"/>
          <w:sz w:val="24"/>
          <w:szCs w:val="24"/>
        </w:rPr>
        <w:t>Our 2022 WDES action plan will detail focused actions against the following metrics:</w:t>
      </w:r>
    </w:p>
    <w:p w:rsidR="00080952" w:rsidRPr="0008214B" w:rsidRDefault="00080952" w:rsidP="00080952">
      <w:pPr>
        <w:pStyle w:val="ListParagraph"/>
        <w:numPr>
          <w:ilvl w:val="0"/>
          <w:numId w:val="9"/>
        </w:numPr>
        <w:spacing w:after="0"/>
        <w:rPr>
          <w:color w:val="365F91" w:themeColor="accent1" w:themeShade="BF"/>
          <w:sz w:val="24"/>
          <w:szCs w:val="24"/>
        </w:rPr>
      </w:pPr>
      <w:r w:rsidRPr="0008214B">
        <w:rPr>
          <w:color w:val="365F91" w:themeColor="accent1" w:themeShade="BF"/>
          <w:sz w:val="24"/>
          <w:szCs w:val="24"/>
        </w:rPr>
        <w:t>Metric 1: percentage of staff in Agenda for Change (</w:t>
      </w:r>
      <w:proofErr w:type="spellStart"/>
      <w:r w:rsidRPr="0008214B">
        <w:rPr>
          <w:color w:val="365F91" w:themeColor="accent1" w:themeShade="BF"/>
          <w:sz w:val="24"/>
          <w:szCs w:val="24"/>
        </w:rPr>
        <w:t>AfC</w:t>
      </w:r>
      <w:proofErr w:type="spellEnd"/>
      <w:r w:rsidRPr="0008214B">
        <w:rPr>
          <w:color w:val="365F91" w:themeColor="accent1" w:themeShade="BF"/>
          <w:sz w:val="24"/>
          <w:szCs w:val="24"/>
        </w:rPr>
        <w:t>) pay bands or Medical and Dental subgroups and Very Senior Managers (VSM, including Executive Board members) compared with the percentage of staff in the overall workforce.</w:t>
      </w:r>
    </w:p>
    <w:p w:rsidR="00080952" w:rsidRPr="0008214B" w:rsidRDefault="00080952" w:rsidP="00080952">
      <w:pPr>
        <w:pStyle w:val="ListParagraph"/>
        <w:numPr>
          <w:ilvl w:val="0"/>
          <w:numId w:val="9"/>
        </w:numPr>
        <w:spacing w:after="0"/>
        <w:rPr>
          <w:color w:val="365F91" w:themeColor="accent1" w:themeShade="BF"/>
          <w:sz w:val="24"/>
          <w:szCs w:val="24"/>
        </w:rPr>
      </w:pPr>
      <w:r w:rsidRPr="0008214B">
        <w:rPr>
          <w:color w:val="365F91" w:themeColor="accent1" w:themeShade="BF"/>
          <w:sz w:val="24"/>
          <w:szCs w:val="24"/>
        </w:rPr>
        <w:t>Metric 3: relative likelihood of Disabled staff compared to non-disabled staff entering the formal capability process, as measured by entry into the formal capability procedure.</w:t>
      </w:r>
    </w:p>
    <w:p w:rsidR="00080952" w:rsidRPr="0008214B" w:rsidRDefault="00080952" w:rsidP="00080952">
      <w:pPr>
        <w:pStyle w:val="ListParagraph"/>
        <w:numPr>
          <w:ilvl w:val="0"/>
          <w:numId w:val="9"/>
        </w:numPr>
        <w:spacing w:after="0"/>
        <w:rPr>
          <w:color w:val="365F91" w:themeColor="accent1" w:themeShade="BF"/>
          <w:sz w:val="24"/>
          <w:szCs w:val="24"/>
        </w:rPr>
      </w:pPr>
      <w:r w:rsidRPr="0008214B">
        <w:rPr>
          <w:color w:val="365F91" w:themeColor="accent1" w:themeShade="BF"/>
          <w:sz w:val="24"/>
          <w:szCs w:val="24"/>
        </w:rPr>
        <w:t xml:space="preserve">Metric 9a: </w:t>
      </w:r>
      <w:r w:rsidRPr="0008214B">
        <w:rPr>
          <w:rFonts w:ascii="Calibri" w:hAnsi="Calibri" w:cs="Calibri"/>
          <w:bCs/>
          <w:color w:val="365F91" w:themeColor="accent1" w:themeShade="BF"/>
        </w:rPr>
        <w:t>the staff engagement score for Disabled staff, compared to non-disabled staff.</w:t>
      </w:r>
    </w:p>
    <w:p w:rsidR="0029330E" w:rsidRPr="0008214B" w:rsidRDefault="00080952" w:rsidP="006C46DA">
      <w:pPr>
        <w:pStyle w:val="ListParagraph"/>
        <w:numPr>
          <w:ilvl w:val="0"/>
          <w:numId w:val="9"/>
        </w:numPr>
        <w:spacing w:after="0"/>
        <w:rPr>
          <w:color w:val="365F91" w:themeColor="accent1" w:themeShade="BF"/>
          <w:sz w:val="24"/>
          <w:szCs w:val="24"/>
        </w:rPr>
      </w:pPr>
      <w:r w:rsidRPr="0008214B">
        <w:rPr>
          <w:color w:val="365F91" w:themeColor="accent1" w:themeShade="BF"/>
          <w:sz w:val="24"/>
          <w:szCs w:val="24"/>
        </w:rPr>
        <w:t>Metric 10: percentage difference between the organisation’s Board voting membership and its organisation’s overall workforce, disaggregated by voting membership of the Board and Executive membership of the Board.</w:t>
      </w:r>
    </w:p>
    <w:p w:rsidR="00080952" w:rsidRPr="0008214B" w:rsidRDefault="00080952" w:rsidP="00080952">
      <w:pPr>
        <w:spacing w:after="0"/>
        <w:rPr>
          <w:color w:val="365F91" w:themeColor="accent1" w:themeShade="BF"/>
          <w:sz w:val="24"/>
          <w:szCs w:val="24"/>
        </w:rPr>
      </w:pPr>
    </w:p>
    <w:p w:rsidR="00AD1B33" w:rsidRPr="00E600DE" w:rsidRDefault="003B273F" w:rsidP="00E600DE">
      <w:pPr>
        <w:spacing w:after="0"/>
        <w:rPr>
          <w:color w:val="365F91" w:themeColor="accent1" w:themeShade="BF"/>
          <w:sz w:val="24"/>
          <w:szCs w:val="24"/>
        </w:rPr>
      </w:pPr>
      <w:r w:rsidRPr="0008214B">
        <w:rPr>
          <w:color w:val="365F91" w:themeColor="accent1" w:themeShade="BF"/>
          <w:sz w:val="24"/>
          <w:szCs w:val="24"/>
        </w:rPr>
        <w:t xml:space="preserve">If you have any further questions, please contact the Equality, Diversity and Inclusion team: </w:t>
      </w:r>
      <w:hyperlink r:id="rId25" w:history="1">
        <w:r w:rsidRPr="0008214B">
          <w:rPr>
            <w:rStyle w:val="Hyperlink"/>
            <w:sz w:val="24"/>
            <w:szCs w:val="24"/>
          </w:rPr>
          <w:t>equality.diversity@spft.nhs.uk</w:t>
        </w:r>
      </w:hyperlink>
      <w:r w:rsidRPr="0008214B">
        <w:rPr>
          <w:color w:val="365F91" w:themeColor="accent1" w:themeShade="BF"/>
          <w:sz w:val="24"/>
          <w:szCs w:val="24"/>
        </w:rPr>
        <w:t>.</w:t>
      </w:r>
      <w:r>
        <w:rPr>
          <w:color w:val="365F91" w:themeColor="accent1" w:themeShade="BF"/>
          <w:sz w:val="24"/>
          <w:szCs w:val="24"/>
        </w:rPr>
        <w:t xml:space="preserve"> </w:t>
      </w:r>
    </w:p>
    <w:p w:rsidR="00B262EA" w:rsidRDefault="00B262EA" w:rsidP="00B262EA">
      <w:pPr>
        <w:spacing w:after="0"/>
        <w:rPr>
          <w:color w:val="365F91" w:themeColor="accent1" w:themeShade="BF"/>
          <w:sz w:val="24"/>
          <w:szCs w:val="24"/>
        </w:rPr>
      </w:pPr>
    </w:p>
    <w:p w:rsidR="00B262EA" w:rsidRPr="00B262EA" w:rsidRDefault="00B262EA" w:rsidP="00B262EA">
      <w:pPr>
        <w:spacing w:after="0"/>
        <w:rPr>
          <w:color w:val="365F91" w:themeColor="accent1" w:themeShade="BF"/>
          <w:sz w:val="24"/>
          <w:szCs w:val="24"/>
        </w:rPr>
      </w:pPr>
    </w:p>
    <w:sectPr w:rsidR="00B262EA" w:rsidRPr="00B262EA">
      <w:footerReference w:type="default" r:id="rId2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32E55" w:rsidRDefault="00332E55" w:rsidP="006A578D">
      <w:pPr>
        <w:spacing w:after="0" w:line="240" w:lineRule="auto"/>
      </w:pPr>
      <w:r>
        <w:separator/>
      </w:r>
    </w:p>
  </w:endnote>
  <w:endnote w:type="continuationSeparator" w:id="0">
    <w:p w:rsidR="00332E55" w:rsidRDefault="00332E55" w:rsidP="006A57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0503585"/>
      <w:docPartObj>
        <w:docPartGallery w:val="Page Numbers (Bottom of Page)"/>
        <w:docPartUnique/>
      </w:docPartObj>
    </w:sdtPr>
    <w:sdtEndPr>
      <w:rPr>
        <w:noProof/>
      </w:rPr>
    </w:sdtEndPr>
    <w:sdtContent>
      <w:p w:rsidR="00332E55" w:rsidRDefault="00332E5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332E55" w:rsidRDefault="00332E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32E55" w:rsidRDefault="00332E55" w:rsidP="006A578D">
      <w:pPr>
        <w:spacing w:after="0" w:line="240" w:lineRule="auto"/>
      </w:pPr>
      <w:r>
        <w:separator/>
      </w:r>
    </w:p>
  </w:footnote>
  <w:footnote w:type="continuationSeparator" w:id="0">
    <w:p w:rsidR="00332E55" w:rsidRDefault="00332E55" w:rsidP="006A57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F63F7F"/>
    <w:multiLevelType w:val="hybridMultilevel"/>
    <w:tmpl w:val="58146C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D94F71"/>
    <w:multiLevelType w:val="hybridMultilevel"/>
    <w:tmpl w:val="D9122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EB90EE"/>
    <w:multiLevelType w:val="hybridMultilevel"/>
    <w:tmpl w:val="8C831E6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31651B14"/>
    <w:multiLevelType w:val="hybridMultilevel"/>
    <w:tmpl w:val="090A3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B9D3D81"/>
    <w:multiLevelType w:val="hybridMultilevel"/>
    <w:tmpl w:val="14B2718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68D5452"/>
    <w:multiLevelType w:val="hybridMultilevel"/>
    <w:tmpl w:val="3FDC4C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BAC4059"/>
    <w:multiLevelType w:val="hybridMultilevel"/>
    <w:tmpl w:val="B95C97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8575941"/>
    <w:multiLevelType w:val="hybridMultilevel"/>
    <w:tmpl w:val="931E4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EA1349B"/>
    <w:multiLevelType w:val="hybridMultilevel"/>
    <w:tmpl w:val="C5AE3502"/>
    <w:lvl w:ilvl="0" w:tplc="F7B68A94">
      <w:start w:val="7"/>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8"/>
  </w:num>
  <w:num w:numId="4">
    <w:abstractNumId w:val="3"/>
  </w:num>
  <w:num w:numId="5">
    <w:abstractNumId w:val="4"/>
  </w:num>
  <w:num w:numId="6">
    <w:abstractNumId w:val="7"/>
  </w:num>
  <w:num w:numId="7">
    <w:abstractNumId w:val="2"/>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7A2C"/>
    <w:rsid w:val="0000378B"/>
    <w:rsid w:val="000146D3"/>
    <w:rsid w:val="00023C81"/>
    <w:rsid w:val="00030805"/>
    <w:rsid w:val="00035157"/>
    <w:rsid w:val="00080952"/>
    <w:rsid w:val="0008214B"/>
    <w:rsid w:val="000962D9"/>
    <w:rsid w:val="000975B1"/>
    <w:rsid w:val="000C2F61"/>
    <w:rsid w:val="000E1857"/>
    <w:rsid w:val="000E2FAA"/>
    <w:rsid w:val="000E53A2"/>
    <w:rsid w:val="000F00AD"/>
    <w:rsid w:val="000F4959"/>
    <w:rsid w:val="001016FA"/>
    <w:rsid w:val="00103B8A"/>
    <w:rsid w:val="00104737"/>
    <w:rsid w:val="00104E9F"/>
    <w:rsid w:val="00110796"/>
    <w:rsid w:val="001142BB"/>
    <w:rsid w:val="00166E9F"/>
    <w:rsid w:val="00182032"/>
    <w:rsid w:val="00186EFD"/>
    <w:rsid w:val="001A0505"/>
    <w:rsid w:val="001A115B"/>
    <w:rsid w:val="001E0CCB"/>
    <w:rsid w:val="001E59CB"/>
    <w:rsid w:val="001F1C29"/>
    <w:rsid w:val="002010A4"/>
    <w:rsid w:val="0020299F"/>
    <w:rsid w:val="002122E7"/>
    <w:rsid w:val="00231BA7"/>
    <w:rsid w:val="00236692"/>
    <w:rsid w:val="002405D2"/>
    <w:rsid w:val="002448F6"/>
    <w:rsid w:val="00244C17"/>
    <w:rsid w:val="00270909"/>
    <w:rsid w:val="00281832"/>
    <w:rsid w:val="0029330E"/>
    <w:rsid w:val="00293658"/>
    <w:rsid w:val="002D397E"/>
    <w:rsid w:val="00317029"/>
    <w:rsid w:val="00332E55"/>
    <w:rsid w:val="00377272"/>
    <w:rsid w:val="003A00F9"/>
    <w:rsid w:val="003B273F"/>
    <w:rsid w:val="003B6CB3"/>
    <w:rsid w:val="003D7E11"/>
    <w:rsid w:val="003E304E"/>
    <w:rsid w:val="00402671"/>
    <w:rsid w:val="004110C3"/>
    <w:rsid w:val="0043741E"/>
    <w:rsid w:val="00440AAE"/>
    <w:rsid w:val="00452198"/>
    <w:rsid w:val="00456994"/>
    <w:rsid w:val="004611DA"/>
    <w:rsid w:val="004637A5"/>
    <w:rsid w:val="004813DF"/>
    <w:rsid w:val="0048477A"/>
    <w:rsid w:val="004A433E"/>
    <w:rsid w:val="004A6D20"/>
    <w:rsid w:val="004C06DE"/>
    <w:rsid w:val="004C5D55"/>
    <w:rsid w:val="004C6F23"/>
    <w:rsid w:val="004F4598"/>
    <w:rsid w:val="00500F9C"/>
    <w:rsid w:val="005037D2"/>
    <w:rsid w:val="00511D94"/>
    <w:rsid w:val="0052072D"/>
    <w:rsid w:val="00555E92"/>
    <w:rsid w:val="00587B29"/>
    <w:rsid w:val="005A23BD"/>
    <w:rsid w:val="005D121C"/>
    <w:rsid w:val="00602612"/>
    <w:rsid w:val="006166CA"/>
    <w:rsid w:val="0065065F"/>
    <w:rsid w:val="00653DED"/>
    <w:rsid w:val="00660707"/>
    <w:rsid w:val="0067641D"/>
    <w:rsid w:val="00687A2C"/>
    <w:rsid w:val="006963B0"/>
    <w:rsid w:val="006A578D"/>
    <w:rsid w:val="006C3B8E"/>
    <w:rsid w:val="006C46DA"/>
    <w:rsid w:val="006D0197"/>
    <w:rsid w:val="006D1EB0"/>
    <w:rsid w:val="006E15E6"/>
    <w:rsid w:val="0070113B"/>
    <w:rsid w:val="00703D36"/>
    <w:rsid w:val="0072064C"/>
    <w:rsid w:val="00733A78"/>
    <w:rsid w:val="00733E12"/>
    <w:rsid w:val="007A5AC3"/>
    <w:rsid w:val="007B39D1"/>
    <w:rsid w:val="007C58C2"/>
    <w:rsid w:val="007E40D0"/>
    <w:rsid w:val="007E65C3"/>
    <w:rsid w:val="007F6454"/>
    <w:rsid w:val="0080176E"/>
    <w:rsid w:val="00811E58"/>
    <w:rsid w:val="00820FD8"/>
    <w:rsid w:val="0083358B"/>
    <w:rsid w:val="00835DC8"/>
    <w:rsid w:val="008631AF"/>
    <w:rsid w:val="00863861"/>
    <w:rsid w:val="008652CF"/>
    <w:rsid w:val="00866E72"/>
    <w:rsid w:val="0087437F"/>
    <w:rsid w:val="00891CDC"/>
    <w:rsid w:val="008B670D"/>
    <w:rsid w:val="008C78B1"/>
    <w:rsid w:val="008E50C1"/>
    <w:rsid w:val="00906C43"/>
    <w:rsid w:val="009140FF"/>
    <w:rsid w:val="00916910"/>
    <w:rsid w:val="00925A9F"/>
    <w:rsid w:val="00943657"/>
    <w:rsid w:val="0094652A"/>
    <w:rsid w:val="009469B6"/>
    <w:rsid w:val="009946C6"/>
    <w:rsid w:val="009A79A3"/>
    <w:rsid w:val="009B7C69"/>
    <w:rsid w:val="009E712B"/>
    <w:rsid w:val="009F782A"/>
    <w:rsid w:val="00A03CC3"/>
    <w:rsid w:val="00A054DE"/>
    <w:rsid w:val="00A07569"/>
    <w:rsid w:val="00A30435"/>
    <w:rsid w:val="00A3302E"/>
    <w:rsid w:val="00A40277"/>
    <w:rsid w:val="00A51292"/>
    <w:rsid w:val="00A52CDD"/>
    <w:rsid w:val="00A531B1"/>
    <w:rsid w:val="00A71BFC"/>
    <w:rsid w:val="00A75978"/>
    <w:rsid w:val="00A85FEF"/>
    <w:rsid w:val="00AB118C"/>
    <w:rsid w:val="00AC0CC5"/>
    <w:rsid w:val="00AC3EF9"/>
    <w:rsid w:val="00AD1B33"/>
    <w:rsid w:val="00AE6E6E"/>
    <w:rsid w:val="00AE7F1C"/>
    <w:rsid w:val="00AF3E91"/>
    <w:rsid w:val="00AF7BE7"/>
    <w:rsid w:val="00B03433"/>
    <w:rsid w:val="00B16744"/>
    <w:rsid w:val="00B21A27"/>
    <w:rsid w:val="00B247AC"/>
    <w:rsid w:val="00B262EA"/>
    <w:rsid w:val="00B303F1"/>
    <w:rsid w:val="00B47A5C"/>
    <w:rsid w:val="00B6615A"/>
    <w:rsid w:val="00B6666C"/>
    <w:rsid w:val="00B76413"/>
    <w:rsid w:val="00BA02B4"/>
    <w:rsid w:val="00BA2A91"/>
    <w:rsid w:val="00BB219B"/>
    <w:rsid w:val="00BC75BB"/>
    <w:rsid w:val="00C00820"/>
    <w:rsid w:val="00C03C26"/>
    <w:rsid w:val="00C27100"/>
    <w:rsid w:val="00C3462D"/>
    <w:rsid w:val="00C43B79"/>
    <w:rsid w:val="00C52598"/>
    <w:rsid w:val="00C6395C"/>
    <w:rsid w:val="00C75A4F"/>
    <w:rsid w:val="00C844D9"/>
    <w:rsid w:val="00C94B26"/>
    <w:rsid w:val="00CA28D0"/>
    <w:rsid w:val="00CA596F"/>
    <w:rsid w:val="00CB6C3F"/>
    <w:rsid w:val="00CE432A"/>
    <w:rsid w:val="00CF63C5"/>
    <w:rsid w:val="00D04C7F"/>
    <w:rsid w:val="00D101DA"/>
    <w:rsid w:val="00D371BC"/>
    <w:rsid w:val="00D45662"/>
    <w:rsid w:val="00D6344A"/>
    <w:rsid w:val="00DB302C"/>
    <w:rsid w:val="00DF6EC9"/>
    <w:rsid w:val="00E1550E"/>
    <w:rsid w:val="00E166E7"/>
    <w:rsid w:val="00E30B14"/>
    <w:rsid w:val="00E330BC"/>
    <w:rsid w:val="00E458E5"/>
    <w:rsid w:val="00E511CB"/>
    <w:rsid w:val="00E51826"/>
    <w:rsid w:val="00E57E9B"/>
    <w:rsid w:val="00E600DE"/>
    <w:rsid w:val="00E758D3"/>
    <w:rsid w:val="00E936C2"/>
    <w:rsid w:val="00EA3968"/>
    <w:rsid w:val="00EB0D97"/>
    <w:rsid w:val="00EC66E2"/>
    <w:rsid w:val="00ED6F0C"/>
    <w:rsid w:val="00EE42F6"/>
    <w:rsid w:val="00EF1178"/>
    <w:rsid w:val="00F05D89"/>
    <w:rsid w:val="00F85944"/>
    <w:rsid w:val="00F95364"/>
    <w:rsid w:val="00FC77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607219"/>
  <w15:chartTrackingRefBased/>
  <w15:docId w15:val="{8590EE95-5203-4A7C-ACF7-35F242C8A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00AD"/>
    <w:pPr>
      <w:ind w:left="720"/>
      <w:contextualSpacing/>
    </w:pPr>
  </w:style>
  <w:style w:type="table" w:styleId="TableGrid">
    <w:name w:val="Table Grid"/>
    <w:basedOn w:val="TableNormal"/>
    <w:uiPriority w:val="59"/>
    <w:unhideWhenUsed/>
    <w:rsid w:val="00B303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A57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578D"/>
  </w:style>
  <w:style w:type="paragraph" w:styleId="Footer">
    <w:name w:val="footer"/>
    <w:basedOn w:val="Normal"/>
    <w:link w:val="FooterChar"/>
    <w:uiPriority w:val="99"/>
    <w:unhideWhenUsed/>
    <w:rsid w:val="006A57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578D"/>
  </w:style>
  <w:style w:type="character" w:styleId="Hyperlink">
    <w:name w:val="Hyperlink"/>
    <w:basedOn w:val="DefaultParagraphFont"/>
    <w:uiPriority w:val="99"/>
    <w:unhideWhenUsed/>
    <w:rsid w:val="0052072D"/>
    <w:rPr>
      <w:color w:val="0000FF" w:themeColor="hyperlink"/>
      <w:u w:val="single"/>
    </w:rPr>
  </w:style>
  <w:style w:type="character" w:styleId="UnresolvedMention">
    <w:name w:val="Unresolved Mention"/>
    <w:basedOn w:val="DefaultParagraphFont"/>
    <w:uiPriority w:val="99"/>
    <w:semiHidden/>
    <w:unhideWhenUsed/>
    <w:rsid w:val="0052072D"/>
    <w:rPr>
      <w:color w:val="605E5C"/>
      <w:shd w:val="clear" w:color="auto" w:fill="E1DFDD"/>
    </w:rPr>
  </w:style>
  <w:style w:type="character" w:styleId="FollowedHyperlink">
    <w:name w:val="FollowedHyperlink"/>
    <w:basedOn w:val="DefaultParagraphFont"/>
    <w:uiPriority w:val="99"/>
    <w:semiHidden/>
    <w:unhideWhenUsed/>
    <w:rsid w:val="00452198"/>
    <w:rPr>
      <w:color w:val="800080" w:themeColor="followedHyperlink"/>
      <w:u w:val="single"/>
    </w:rPr>
  </w:style>
  <w:style w:type="paragraph" w:customStyle="1" w:styleId="Default">
    <w:name w:val="Default"/>
    <w:rsid w:val="00166E9F"/>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chart" Target="charts/chart6.xml"/><Relationship Id="rId18" Type="http://schemas.openxmlformats.org/officeDocument/2006/relationships/chart" Target="charts/chart11.xm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chart" Target="charts/chart14.xml"/><Relationship Id="rId7" Type="http://schemas.openxmlformats.org/officeDocument/2006/relationships/chart" Target="charts/chart1.xml"/><Relationship Id="rId12" Type="http://schemas.openxmlformats.org/officeDocument/2006/relationships/chart" Target="charts/chart5.xml"/><Relationship Id="rId17" Type="http://schemas.openxmlformats.org/officeDocument/2006/relationships/chart" Target="charts/chart10.xml"/><Relationship Id="rId25" Type="http://schemas.openxmlformats.org/officeDocument/2006/relationships/hyperlink" Target="mailto:equality.diversity@spft.nhs.uk" TargetMode="External"/><Relationship Id="rId2" Type="http://schemas.openxmlformats.org/officeDocument/2006/relationships/styles" Target="styles.xml"/><Relationship Id="rId16" Type="http://schemas.openxmlformats.org/officeDocument/2006/relationships/chart" Target="charts/chart9.xml"/><Relationship Id="rId20" Type="http://schemas.openxmlformats.org/officeDocument/2006/relationships/chart" Target="charts/chart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4.xml"/><Relationship Id="rId24" Type="http://schemas.openxmlformats.org/officeDocument/2006/relationships/chart" Target="charts/chart17.xml"/><Relationship Id="rId5" Type="http://schemas.openxmlformats.org/officeDocument/2006/relationships/footnotes" Target="footnotes.xml"/><Relationship Id="rId15" Type="http://schemas.openxmlformats.org/officeDocument/2006/relationships/chart" Target="charts/chart8.xml"/><Relationship Id="rId23" Type="http://schemas.openxmlformats.org/officeDocument/2006/relationships/chart" Target="charts/chart16.xml"/><Relationship Id="rId28" Type="http://schemas.openxmlformats.org/officeDocument/2006/relationships/theme" Target="theme/theme1.xml"/><Relationship Id="rId10" Type="http://schemas.openxmlformats.org/officeDocument/2006/relationships/hyperlink" Target="https://cms.nhsstaffsurveys.com/app/reports/2021/RX2-benchmark-2021.pdf" TargetMode="External"/><Relationship Id="rId19" Type="http://schemas.openxmlformats.org/officeDocument/2006/relationships/chart" Target="charts/chart12.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chart" Target="charts/chart7.xml"/><Relationship Id="rId22" Type="http://schemas.openxmlformats.org/officeDocument/2006/relationships/chart" Target="charts/chart15.xml"/><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Worksheet9.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10.xlsx"/><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package" Target="../embeddings/Microsoft_Excel_Worksheet11.xlsx"/><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package" Target="../embeddings/Microsoft_Excel_Worksheet12.xlsx"/><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package" Target="../embeddings/Microsoft_Excel_Worksheet13.xlsx"/><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package" Target="../embeddings/Microsoft_Excel_Worksheet14.xlsx"/><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package" Target="../embeddings/Microsoft_Excel_Worksheet15.xlsx"/><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package" Target="../embeddings/Microsoft_Excel_Worksheet16.xlsx"/><Relationship Id="rId2" Type="http://schemas.microsoft.com/office/2011/relationships/chartColorStyle" Target="colors17.xml"/><Relationship Id="rId1" Type="http://schemas.microsoft.com/office/2011/relationships/chartStyle" Target="style1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Disabled staff % 2019-2022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Disabled staff %</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2019</c:v>
                </c:pt>
                <c:pt idx="1">
                  <c:v>2020</c:v>
                </c:pt>
                <c:pt idx="2">
                  <c:v>2021</c:v>
                </c:pt>
                <c:pt idx="3">
                  <c:v>2022</c:v>
                </c:pt>
              </c:numCache>
            </c:numRef>
          </c:cat>
          <c:val>
            <c:numRef>
              <c:f>Sheet1!$B$2:$B$5</c:f>
              <c:numCache>
                <c:formatCode>General</c:formatCode>
                <c:ptCount val="4"/>
                <c:pt idx="0">
                  <c:v>7.94</c:v>
                </c:pt>
                <c:pt idx="1">
                  <c:v>9.01</c:v>
                </c:pt>
                <c:pt idx="2">
                  <c:v>9.27</c:v>
                </c:pt>
                <c:pt idx="3">
                  <c:v>10.43</c:v>
                </c:pt>
              </c:numCache>
            </c:numRef>
          </c:val>
          <c:smooth val="0"/>
          <c:extLst>
            <c:ext xmlns:c16="http://schemas.microsoft.com/office/drawing/2014/chart" uri="{C3380CC4-5D6E-409C-BE32-E72D297353CC}">
              <c16:uniqueId val="{00000000-7E1A-4BC1-A969-96047B6AD8E3}"/>
            </c:ext>
          </c:extLst>
        </c:ser>
        <c:dLbls>
          <c:dLblPos val="t"/>
          <c:showLegendKey val="0"/>
          <c:showVal val="1"/>
          <c:showCatName val="0"/>
          <c:showSerName val="0"/>
          <c:showPercent val="0"/>
          <c:showBubbleSize val="0"/>
        </c:dLbls>
        <c:marker val="1"/>
        <c:smooth val="0"/>
        <c:axId val="899722688"/>
        <c:axId val="682456784"/>
      </c:lineChart>
      <c:catAx>
        <c:axId val="8997226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82456784"/>
        <c:crosses val="autoZero"/>
        <c:auto val="1"/>
        <c:lblAlgn val="ctr"/>
        <c:lblOffset val="100"/>
        <c:noMultiLvlLbl val="0"/>
      </c:catAx>
      <c:valAx>
        <c:axId val="6824567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997226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Non-clinical workforce</a:t>
            </a:r>
            <a:r>
              <a:rPr lang="en-GB" baseline="0"/>
              <a:t> 2022</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percentStacked"/>
        <c:varyColors val="0"/>
        <c:ser>
          <c:idx val="0"/>
          <c:order val="0"/>
          <c:tx>
            <c:strRef>
              <c:f>Sheet1!$B$1</c:f>
              <c:strCache>
                <c:ptCount val="1"/>
                <c:pt idx="0">
                  <c:v>Disabled</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Cluster 1</c:v>
                </c:pt>
                <c:pt idx="1">
                  <c:v>Cluster 2</c:v>
                </c:pt>
                <c:pt idx="2">
                  <c:v>Cluster 3</c:v>
                </c:pt>
                <c:pt idx="3">
                  <c:v>Cluster 4</c:v>
                </c:pt>
              </c:strCache>
            </c:strRef>
          </c:cat>
          <c:val>
            <c:numRef>
              <c:f>Sheet1!$B$2:$B$5</c:f>
              <c:numCache>
                <c:formatCode>General</c:formatCode>
                <c:ptCount val="4"/>
                <c:pt idx="0">
                  <c:v>8.7200000000000006</c:v>
                </c:pt>
                <c:pt idx="1">
                  <c:v>9.01</c:v>
                </c:pt>
                <c:pt idx="2">
                  <c:v>7.86</c:v>
                </c:pt>
                <c:pt idx="3">
                  <c:v>5.45</c:v>
                </c:pt>
              </c:numCache>
            </c:numRef>
          </c:val>
          <c:extLst>
            <c:ext xmlns:c16="http://schemas.microsoft.com/office/drawing/2014/chart" uri="{C3380CC4-5D6E-409C-BE32-E72D297353CC}">
              <c16:uniqueId val="{00000000-B56D-414E-8F2E-B281964BB5A7}"/>
            </c:ext>
          </c:extLst>
        </c:ser>
        <c:ser>
          <c:idx val="1"/>
          <c:order val="1"/>
          <c:tx>
            <c:strRef>
              <c:f>Sheet1!$C$1</c:f>
              <c:strCache>
                <c:ptCount val="1"/>
                <c:pt idx="0">
                  <c:v>Non-disabled</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Cluster 1</c:v>
                </c:pt>
                <c:pt idx="1">
                  <c:v>Cluster 2</c:v>
                </c:pt>
                <c:pt idx="2">
                  <c:v>Cluster 3</c:v>
                </c:pt>
                <c:pt idx="3">
                  <c:v>Cluster 4</c:v>
                </c:pt>
              </c:strCache>
            </c:strRef>
          </c:cat>
          <c:val>
            <c:numRef>
              <c:f>Sheet1!$C$2:$C$5</c:f>
              <c:numCache>
                <c:formatCode>General</c:formatCode>
                <c:ptCount val="4"/>
                <c:pt idx="0">
                  <c:v>80.61</c:v>
                </c:pt>
                <c:pt idx="1">
                  <c:v>80.28</c:v>
                </c:pt>
                <c:pt idx="2">
                  <c:v>82.14</c:v>
                </c:pt>
                <c:pt idx="3">
                  <c:v>83.64</c:v>
                </c:pt>
              </c:numCache>
            </c:numRef>
          </c:val>
          <c:extLst>
            <c:ext xmlns:c16="http://schemas.microsoft.com/office/drawing/2014/chart" uri="{C3380CC4-5D6E-409C-BE32-E72D297353CC}">
              <c16:uniqueId val="{00000001-B56D-414E-8F2E-B281964BB5A7}"/>
            </c:ext>
          </c:extLst>
        </c:ser>
        <c:ser>
          <c:idx val="2"/>
          <c:order val="2"/>
          <c:tx>
            <c:strRef>
              <c:f>Sheet1!$D$1</c:f>
              <c:strCache>
                <c:ptCount val="1"/>
                <c:pt idx="0">
                  <c:v>Unknown</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Cluster 1</c:v>
                </c:pt>
                <c:pt idx="1">
                  <c:v>Cluster 2</c:v>
                </c:pt>
                <c:pt idx="2">
                  <c:v>Cluster 3</c:v>
                </c:pt>
                <c:pt idx="3">
                  <c:v>Cluster 4</c:v>
                </c:pt>
              </c:strCache>
            </c:strRef>
          </c:cat>
          <c:val>
            <c:numRef>
              <c:f>Sheet1!$D$2:$D$5</c:f>
              <c:numCache>
                <c:formatCode>General</c:formatCode>
                <c:ptCount val="4"/>
                <c:pt idx="0">
                  <c:v>10.68</c:v>
                </c:pt>
                <c:pt idx="1">
                  <c:v>10.7</c:v>
                </c:pt>
                <c:pt idx="2">
                  <c:v>10</c:v>
                </c:pt>
                <c:pt idx="3">
                  <c:v>10.91</c:v>
                </c:pt>
              </c:numCache>
            </c:numRef>
          </c:val>
          <c:extLst>
            <c:ext xmlns:c16="http://schemas.microsoft.com/office/drawing/2014/chart" uri="{C3380CC4-5D6E-409C-BE32-E72D297353CC}">
              <c16:uniqueId val="{00000002-B56D-414E-8F2E-B281964BB5A7}"/>
            </c:ext>
          </c:extLst>
        </c:ser>
        <c:dLbls>
          <c:dLblPos val="ctr"/>
          <c:showLegendKey val="0"/>
          <c:showVal val="1"/>
          <c:showCatName val="0"/>
          <c:showSerName val="0"/>
          <c:showPercent val="0"/>
          <c:showBubbleSize val="0"/>
        </c:dLbls>
        <c:gapWidth val="150"/>
        <c:overlap val="100"/>
        <c:axId val="2059116832"/>
        <c:axId val="121930000"/>
      </c:barChart>
      <c:catAx>
        <c:axId val="20591168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1930000"/>
        <c:crosses val="autoZero"/>
        <c:auto val="1"/>
        <c:lblAlgn val="ctr"/>
        <c:lblOffset val="100"/>
        <c:noMultiLvlLbl val="0"/>
      </c:catAx>
      <c:valAx>
        <c:axId val="12193000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591168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Clinical workforce 2022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percentStacked"/>
        <c:varyColors val="0"/>
        <c:ser>
          <c:idx val="0"/>
          <c:order val="0"/>
          <c:tx>
            <c:strRef>
              <c:f>Sheet1!$B$1</c:f>
              <c:strCache>
                <c:ptCount val="1"/>
                <c:pt idx="0">
                  <c:v>Disabled </c:v>
                </c:pt>
              </c:strCache>
            </c:strRef>
          </c:tx>
          <c:spPr>
            <a:solidFill>
              <a:schemeClr val="accent1"/>
            </a:solidFill>
            <a:ln>
              <a:noFill/>
            </a:ln>
            <a:effectLst/>
          </c:spPr>
          <c:invertIfNegative val="0"/>
          <c:dLbls>
            <c:dLbl>
              <c:idx val="3"/>
              <c:layout>
                <c:manualLayout>
                  <c:x val="0"/>
                  <c:y val="-4.3650793650793648E-2"/>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7E8-4B42-85B0-D5D1F395F1B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Cluster 1</c:v>
                </c:pt>
                <c:pt idx="1">
                  <c:v>Cluster 2</c:v>
                </c:pt>
                <c:pt idx="2">
                  <c:v>Cluster 3</c:v>
                </c:pt>
                <c:pt idx="3">
                  <c:v>Cluster 4</c:v>
                </c:pt>
              </c:strCache>
            </c:strRef>
          </c:cat>
          <c:val>
            <c:numRef>
              <c:f>Sheet1!$B$2:$B$5</c:f>
              <c:numCache>
                <c:formatCode>General</c:formatCode>
                <c:ptCount val="4"/>
                <c:pt idx="0">
                  <c:v>13.02</c:v>
                </c:pt>
                <c:pt idx="1">
                  <c:v>12.25</c:v>
                </c:pt>
                <c:pt idx="2">
                  <c:v>6.65</c:v>
                </c:pt>
                <c:pt idx="3">
                  <c:v>2.27</c:v>
                </c:pt>
              </c:numCache>
            </c:numRef>
          </c:val>
          <c:extLst>
            <c:ext xmlns:c16="http://schemas.microsoft.com/office/drawing/2014/chart" uri="{C3380CC4-5D6E-409C-BE32-E72D297353CC}">
              <c16:uniqueId val="{00000000-27E8-4B42-85B0-D5D1F395F1B2}"/>
            </c:ext>
          </c:extLst>
        </c:ser>
        <c:ser>
          <c:idx val="1"/>
          <c:order val="1"/>
          <c:tx>
            <c:strRef>
              <c:f>Sheet1!$C$1</c:f>
              <c:strCache>
                <c:ptCount val="1"/>
                <c:pt idx="0">
                  <c:v>Non-disabled</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Cluster 1</c:v>
                </c:pt>
                <c:pt idx="1">
                  <c:v>Cluster 2</c:v>
                </c:pt>
                <c:pt idx="2">
                  <c:v>Cluster 3</c:v>
                </c:pt>
                <c:pt idx="3">
                  <c:v>Cluster 4</c:v>
                </c:pt>
              </c:strCache>
            </c:strRef>
          </c:cat>
          <c:val>
            <c:numRef>
              <c:f>Sheet1!$C$2:$C$5</c:f>
              <c:numCache>
                <c:formatCode>General</c:formatCode>
                <c:ptCount val="4"/>
                <c:pt idx="0">
                  <c:v>77.650000000000006</c:v>
                </c:pt>
                <c:pt idx="1">
                  <c:v>77.77</c:v>
                </c:pt>
                <c:pt idx="2">
                  <c:v>83.99</c:v>
                </c:pt>
                <c:pt idx="3">
                  <c:v>85.23</c:v>
                </c:pt>
              </c:numCache>
            </c:numRef>
          </c:val>
          <c:extLst>
            <c:ext xmlns:c16="http://schemas.microsoft.com/office/drawing/2014/chart" uri="{C3380CC4-5D6E-409C-BE32-E72D297353CC}">
              <c16:uniqueId val="{00000001-27E8-4B42-85B0-D5D1F395F1B2}"/>
            </c:ext>
          </c:extLst>
        </c:ser>
        <c:ser>
          <c:idx val="2"/>
          <c:order val="2"/>
          <c:tx>
            <c:strRef>
              <c:f>Sheet1!$D$1</c:f>
              <c:strCache>
                <c:ptCount val="1"/>
                <c:pt idx="0">
                  <c:v>Unknown</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Cluster 1</c:v>
                </c:pt>
                <c:pt idx="1">
                  <c:v>Cluster 2</c:v>
                </c:pt>
                <c:pt idx="2">
                  <c:v>Cluster 3</c:v>
                </c:pt>
                <c:pt idx="3">
                  <c:v>Cluster 4</c:v>
                </c:pt>
              </c:strCache>
            </c:strRef>
          </c:cat>
          <c:val>
            <c:numRef>
              <c:f>Sheet1!$D$2:$D$5</c:f>
              <c:numCache>
                <c:formatCode>General</c:formatCode>
                <c:ptCount val="4"/>
                <c:pt idx="0">
                  <c:v>9.33</c:v>
                </c:pt>
                <c:pt idx="1">
                  <c:v>9.98</c:v>
                </c:pt>
                <c:pt idx="2">
                  <c:v>9.36</c:v>
                </c:pt>
                <c:pt idx="3">
                  <c:v>12.5</c:v>
                </c:pt>
              </c:numCache>
            </c:numRef>
          </c:val>
          <c:extLst>
            <c:ext xmlns:c16="http://schemas.microsoft.com/office/drawing/2014/chart" uri="{C3380CC4-5D6E-409C-BE32-E72D297353CC}">
              <c16:uniqueId val="{00000002-27E8-4B42-85B0-D5D1F395F1B2}"/>
            </c:ext>
          </c:extLst>
        </c:ser>
        <c:dLbls>
          <c:dLblPos val="ctr"/>
          <c:showLegendKey val="0"/>
          <c:showVal val="1"/>
          <c:showCatName val="0"/>
          <c:showSerName val="0"/>
          <c:showPercent val="0"/>
          <c:showBubbleSize val="0"/>
        </c:dLbls>
        <c:gapWidth val="150"/>
        <c:overlap val="100"/>
        <c:axId val="197015072"/>
        <c:axId val="418735744"/>
      </c:barChart>
      <c:catAx>
        <c:axId val="1970150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8735744"/>
        <c:crosses val="autoZero"/>
        <c:auto val="1"/>
        <c:lblAlgn val="ctr"/>
        <c:lblOffset val="100"/>
        <c:noMultiLvlLbl val="0"/>
      </c:catAx>
      <c:valAx>
        <c:axId val="41873574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70150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 staff % 2018-2021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3.8136665208515601E-2"/>
                  <c:y val="4.169635045619297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694-41DD-B153-2092ACB863A5}"/>
                </c:ext>
              </c:extLst>
            </c:dLbl>
            <c:dLbl>
              <c:idx val="1"/>
              <c:layout>
                <c:manualLayout>
                  <c:x val="-2.7916666666666624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694-41DD-B153-2092ACB863A5}"/>
                </c:ext>
              </c:extLst>
            </c:dLbl>
            <c:dLbl>
              <c:idx val="2"/>
              <c:layout>
                <c:manualLayout>
                  <c:x val="-3.8136665208515684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694-41DD-B153-2092ACB863A5}"/>
                </c:ext>
              </c:extLst>
            </c:dLbl>
            <c:dLbl>
              <c:idx val="3"/>
              <c:layout>
                <c:manualLayout>
                  <c:x val="-4.2766294838145404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694-41DD-B153-2092ACB863A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35.4</c:v>
                </c:pt>
                <c:pt idx="1">
                  <c:v>35</c:v>
                </c:pt>
                <c:pt idx="2">
                  <c:v>31.8</c:v>
                </c:pt>
                <c:pt idx="3">
                  <c:v>32.200000000000003</c:v>
                </c:pt>
              </c:numCache>
            </c:numRef>
          </c:val>
          <c:smooth val="0"/>
          <c:extLst>
            <c:ext xmlns:c16="http://schemas.microsoft.com/office/drawing/2014/chart" uri="{C3380CC4-5D6E-409C-BE32-E72D297353CC}">
              <c16:uniqueId val="{00000000-E694-41DD-B153-2092ACB863A5}"/>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40.700000000000003</c:v>
                </c:pt>
                <c:pt idx="1">
                  <c:v>42.9</c:v>
                </c:pt>
                <c:pt idx="2">
                  <c:v>34.700000000000003</c:v>
                </c:pt>
                <c:pt idx="3">
                  <c:v>35.6</c:v>
                </c:pt>
              </c:numCache>
            </c:numRef>
          </c:val>
          <c:smooth val="0"/>
          <c:extLst>
            <c:ext xmlns:c16="http://schemas.microsoft.com/office/drawing/2014/chart" uri="{C3380CC4-5D6E-409C-BE32-E72D297353CC}">
              <c16:uniqueId val="{00000001-E694-41DD-B153-2092ACB863A5}"/>
            </c:ext>
          </c:extLst>
        </c:ser>
        <c:dLbls>
          <c:dLblPos val="t"/>
          <c:showLegendKey val="0"/>
          <c:showVal val="1"/>
          <c:showCatName val="0"/>
          <c:showSerName val="0"/>
          <c:showPercent val="0"/>
          <c:showBubbleSize val="0"/>
        </c:dLbls>
        <c:marker val="1"/>
        <c:smooth val="0"/>
        <c:axId val="972977984"/>
        <c:axId val="1107148448"/>
      </c:lineChart>
      <c:catAx>
        <c:axId val="9729779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07148448"/>
        <c:crosses val="autoZero"/>
        <c:auto val="1"/>
        <c:lblAlgn val="ctr"/>
        <c:lblOffset val="100"/>
        <c:noMultiLvlLbl val="0"/>
      </c:catAx>
      <c:valAx>
        <c:axId val="1107148448"/>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9729779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 staff</a:t>
            </a:r>
            <a:r>
              <a:rPr lang="en-GB" baseline="0"/>
              <a:t> % 2018-2021</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17.600000000000001</c:v>
                </c:pt>
                <c:pt idx="1">
                  <c:v>16.8</c:v>
                </c:pt>
                <c:pt idx="2">
                  <c:v>15.2</c:v>
                </c:pt>
                <c:pt idx="3">
                  <c:v>13.4</c:v>
                </c:pt>
              </c:numCache>
            </c:numRef>
          </c:val>
          <c:smooth val="0"/>
          <c:extLst>
            <c:ext xmlns:c16="http://schemas.microsoft.com/office/drawing/2014/chart" uri="{C3380CC4-5D6E-409C-BE32-E72D297353CC}">
              <c16:uniqueId val="{00000000-8C16-43CB-99FF-A5247394461C}"/>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3.8136665208515601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C16-43CB-99FF-A5247394461C}"/>
                </c:ext>
              </c:extLst>
            </c:dLbl>
            <c:dLbl>
              <c:idx val="1"/>
              <c:layout>
                <c:manualLayout>
                  <c:x val="-3.582185039370079E-2"/>
                  <c:y val="6.550587426571678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C16-43CB-99FF-A5247394461C}"/>
                </c:ext>
              </c:extLst>
            </c:dLbl>
            <c:dLbl>
              <c:idx val="2"/>
              <c:layout>
                <c:manualLayout>
                  <c:x val="-4.2766294838145313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C16-43CB-99FF-A5247394461C}"/>
                </c:ext>
              </c:extLst>
            </c:dLbl>
            <c:dLbl>
              <c:idx val="3"/>
              <c:layout>
                <c:manualLayout>
                  <c:x val="-3.8136665208515774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C16-43CB-99FF-A5247394461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15.5</c:v>
                </c:pt>
                <c:pt idx="1">
                  <c:v>16.600000000000001</c:v>
                </c:pt>
                <c:pt idx="2">
                  <c:v>15.1</c:v>
                </c:pt>
                <c:pt idx="3">
                  <c:v>11.3</c:v>
                </c:pt>
              </c:numCache>
            </c:numRef>
          </c:val>
          <c:smooth val="0"/>
          <c:extLst>
            <c:ext xmlns:c16="http://schemas.microsoft.com/office/drawing/2014/chart" uri="{C3380CC4-5D6E-409C-BE32-E72D297353CC}">
              <c16:uniqueId val="{00000001-8C16-43CB-99FF-A5247394461C}"/>
            </c:ext>
          </c:extLst>
        </c:ser>
        <c:dLbls>
          <c:dLblPos val="t"/>
          <c:showLegendKey val="0"/>
          <c:showVal val="1"/>
          <c:showCatName val="0"/>
          <c:showSerName val="0"/>
          <c:showPercent val="0"/>
          <c:showBubbleSize val="0"/>
        </c:dLbls>
        <c:marker val="1"/>
        <c:smooth val="0"/>
        <c:axId val="894043936"/>
        <c:axId val="1107161760"/>
      </c:lineChart>
      <c:catAx>
        <c:axId val="8940439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07161760"/>
        <c:crosses val="autoZero"/>
        <c:auto val="1"/>
        <c:lblAlgn val="ctr"/>
        <c:lblOffset val="100"/>
        <c:noMultiLvlLbl val="0"/>
      </c:catAx>
      <c:valAx>
        <c:axId val="1107161760"/>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8940439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a:t>
            </a:r>
            <a:r>
              <a:rPr lang="en-GB" baseline="0"/>
              <a:t> staff % 2018-2021</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1"/>
              <c:layout>
                <c:manualLayout>
                  <c:x val="-3.8136665208515601E-2"/>
                  <c:y val="5.756936632920885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971A-4FC4-B30C-DF8C69FF757B}"/>
                </c:ext>
              </c:extLst>
            </c:dLbl>
            <c:dLbl>
              <c:idx val="2"/>
              <c:layout>
                <c:manualLayout>
                  <c:x val="-4.5081109652960132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971A-4FC4-B30C-DF8C69FF757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23.3</c:v>
                </c:pt>
                <c:pt idx="1">
                  <c:v>22.8</c:v>
                </c:pt>
                <c:pt idx="2">
                  <c:v>21.3</c:v>
                </c:pt>
                <c:pt idx="3">
                  <c:v>20.2</c:v>
                </c:pt>
              </c:numCache>
            </c:numRef>
          </c:val>
          <c:smooth val="0"/>
          <c:extLst>
            <c:ext xmlns:c16="http://schemas.microsoft.com/office/drawing/2014/chart" uri="{C3380CC4-5D6E-409C-BE32-E72D297353CC}">
              <c16:uniqueId val="{00000000-971A-4FC4-B30C-DF8C69FF757B}"/>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3.582185039370079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71A-4FC4-B30C-DF8C69FF757B}"/>
                </c:ext>
              </c:extLst>
            </c:dLbl>
            <c:dLbl>
              <c:idx val="3"/>
              <c:layout>
                <c:manualLayout>
                  <c:x val="-3.582185039370079E-2"/>
                  <c:y val="5.756936632920885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971A-4FC4-B30C-DF8C69FF757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22.3</c:v>
                </c:pt>
                <c:pt idx="1">
                  <c:v>24.9</c:v>
                </c:pt>
                <c:pt idx="2">
                  <c:v>22.3</c:v>
                </c:pt>
                <c:pt idx="3">
                  <c:v>18.5</c:v>
                </c:pt>
              </c:numCache>
            </c:numRef>
          </c:val>
          <c:smooth val="0"/>
          <c:extLst>
            <c:ext xmlns:c16="http://schemas.microsoft.com/office/drawing/2014/chart" uri="{C3380CC4-5D6E-409C-BE32-E72D297353CC}">
              <c16:uniqueId val="{00000001-971A-4FC4-B30C-DF8C69FF757B}"/>
            </c:ext>
          </c:extLst>
        </c:ser>
        <c:dLbls>
          <c:dLblPos val="t"/>
          <c:showLegendKey val="0"/>
          <c:showVal val="1"/>
          <c:showCatName val="0"/>
          <c:showSerName val="0"/>
          <c:showPercent val="0"/>
          <c:showBubbleSize val="0"/>
        </c:dLbls>
        <c:marker val="1"/>
        <c:smooth val="0"/>
        <c:axId val="682351536"/>
        <c:axId val="1107167168"/>
      </c:lineChart>
      <c:catAx>
        <c:axId val="6823515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07167168"/>
        <c:crosses val="autoZero"/>
        <c:auto val="1"/>
        <c:lblAlgn val="ctr"/>
        <c:lblOffset val="100"/>
        <c:noMultiLvlLbl val="0"/>
      </c:catAx>
      <c:valAx>
        <c:axId val="1107167168"/>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6823515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a:t>
            </a:r>
            <a:r>
              <a:rPr lang="en-GB" baseline="0"/>
              <a:t> staff % 2018-2021</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55.9</c:v>
                </c:pt>
                <c:pt idx="1">
                  <c:v>57.4</c:v>
                </c:pt>
                <c:pt idx="2">
                  <c:v>58.8</c:v>
                </c:pt>
                <c:pt idx="3">
                  <c:v>59.4</c:v>
                </c:pt>
              </c:numCache>
            </c:numRef>
          </c:val>
          <c:smooth val="0"/>
          <c:extLst>
            <c:ext xmlns:c16="http://schemas.microsoft.com/office/drawing/2014/chart" uri="{C3380CC4-5D6E-409C-BE32-E72D297353CC}">
              <c16:uniqueId val="{00000000-BFAA-408A-8296-220804CCD617}"/>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3.8136665208515601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FAA-408A-8296-220804CCD617}"/>
                </c:ext>
              </c:extLst>
            </c:dLbl>
            <c:dLbl>
              <c:idx val="1"/>
              <c:layout>
                <c:manualLayout>
                  <c:x val="-3.582185039370079E-2"/>
                  <c:y val="4.566460442444701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FAA-408A-8296-220804CCD617}"/>
                </c:ext>
              </c:extLst>
            </c:dLbl>
            <c:dLbl>
              <c:idx val="3"/>
              <c:layout>
                <c:manualLayout>
                  <c:x val="3.5300014581508949E-3"/>
                  <c:y val="-1.385920509936259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FAA-408A-8296-220804CCD61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54.5</c:v>
                </c:pt>
                <c:pt idx="1">
                  <c:v>55.7</c:v>
                </c:pt>
                <c:pt idx="2">
                  <c:v>54.2</c:v>
                </c:pt>
                <c:pt idx="3">
                  <c:v>62.7</c:v>
                </c:pt>
              </c:numCache>
            </c:numRef>
          </c:val>
          <c:smooth val="0"/>
          <c:extLst>
            <c:ext xmlns:c16="http://schemas.microsoft.com/office/drawing/2014/chart" uri="{C3380CC4-5D6E-409C-BE32-E72D297353CC}">
              <c16:uniqueId val="{00000001-BFAA-408A-8296-220804CCD617}"/>
            </c:ext>
          </c:extLst>
        </c:ser>
        <c:dLbls>
          <c:dLblPos val="t"/>
          <c:showLegendKey val="0"/>
          <c:showVal val="1"/>
          <c:showCatName val="0"/>
          <c:showSerName val="0"/>
          <c:showPercent val="0"/>
          <c:showBubbleSize val="0"/>
        </c:dLbls>
        <c:marker val="1"/>
        <c:smooth val="0"/>
        <c:axId val="681348016"/>
        <c:axId val="621883936"/>
      </c:lineChart>
      <c:catAx>
        <c:axId val="6813480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21883936"/>
        <c:crosses val="autoZero"/>
        <c:auto val="1"/>
        <c:lblAlgn val="ctr"/>
        <c:lblOffset val="100"/>
        <c:noMultiLvlLbl val="0"/>
      </c:catAx>
      <c:valAx>
        <c:axId val="621883936"/>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6813480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 staff % 2018-2021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3.1192220764071157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148-47A9-932D-E0EA62F524F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50.7</c:v>
                </c:pt>
                <c:pt idx="1">
                  <c:v>52.5</c:v>
                </c:pt>
                <c:pt idx="2">
                  <c:v>54.3</c:v>
                </c:pt>
                <c:pt idx="3">
                  <c:v>54.4</c:v>
                </c:pt>
              </c:numCache>
            </c:numRef>
          </c:val>
          <c:smooth val="0"/>
          <c:extLst>
            <c:ext xmlns:c16="http://schemas.microsoft.com/office/drawing/2014/chart" uri="{C3380CC4-5D6E-409C-BE32-E72D297353CC}">
              <c16:uniqueId val="{00000000-C148-47A9-932D-E0EA62F524FF}"/>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51.2</c:v>
                </c:pt>
                <c:pt idx="1">
                  <c:v>55.9</c:v>
                </c:pt>
                <c:pt idx="2">
                  <c:v>52.9</c:v>
                </c:pt>
                <c:pt idx="3">
                  <c:v>54.4</c:v>
                </c:pt>
              </c:numCache>
            </c:numRef>
          </c:val>
          <c:smooth val="0"/>
          <c:extLst>
            <c:ext xmlns:c16="http://schemas.microsoft.com/office/drawing/2014/chart" uri="{C3380CC4-5D6E-409C-BE32-E72D297353CC}">
              <c16:uniqueId val="{00000001-C148-47A9-932D-E0EA62F524FF}"/>
            </c:ext>
          </c:extLst>
        </c:ser>
        <c:dLbls>
          <c:dLblPos val="t"/>
          <c:showLegendKey val="0"/>
          <c:showVal val="1"/>
          <c:showCatName val="0"/>
          <c:showSerName val="0"/>
          <c:showPercent val="0"/>
          <c:showBubbleSize val="0"/>
        </c:dLbls>
        <c:marker val="1"/>
        <c:smooth val="0"/>
        <c:axId val="1679204848"/>
        <c:axId val="1882679392"/>
      </c:lineChart>
      <c:catAx>
        <c:axId val="16792048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82679392"/>
        <c:crosses val="autoZero"/>
        <c:auto val="1"/>
        <c:lblAlgn val="ctr"/>
        <c:lblOffset val="100"/>
        <c:noMultiLvlLbl val="0"/>
      </c:catAx>
      <c:valAx>
        <c:axId val="1882679392"/>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6792048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SCFT staff % 2018-2021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Non-disabled</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1"/>
              <c:layout>
                <c:manualLayout>
                  <c:x val="-1.0996281714785651E-3"/>
                  <c:y val="-3.37004749406324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B3B-4EBC-A105-A621144DBE1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62.3</c:v>
                </c:pt>
                <c:pt idx="1">
                  <c:v>64.099999999999994</c:v>
                </c:pt>
                <c:pt idx="2">
                  <c:v>61.5</c:v>
                </c:pt>
                <c:pt idx="3">
                  <c:v>58.8</c:v>
                </c:pt>
              </c:numCache>
            </c:numRef>
          </c:val>
          <c:smooth val="0"/>
          <c:extLst>
            <c:ext xmlns:c16="http://schemas.microsoft.com/office/drawing/2014/chart" uri="{C3380CC4-5D6E-409C-BE32-E72D297353CC}">
              <c16:uniqueId val="{00000000-9B3B-4EBC-A105-A621144DBE17}"/>
            </c:ext>
          </c:extLst>
        </c:ser>
        <c:ser>
          <c:idx val="1"/>
          <c:order val="1"/>
          <c:tx>
            <c:strRef>
              <c:f>Sheet1!$C$1</c:f>
              <c:strCache>
                <c:ptCount val="1"/>
                <c:pt idx="0">
                  <c:v>Disabled</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3.3507035578885971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9B3B-4EBC-A105-A621144DBE17}"/>
                </c:ext>
              </c:extLst>
            </c:dLbl>
            <c:dLbl>
              <c:idx val="1"/>
              <c:layout>
                <c:manualLayout>
                  <c:x val="-3.8136665208515601E-2"/>
                  <c:y val="4.566460442444698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9B3B-4EBC-A105-A621144DBE17}"/>
                </c:ext>
              </c:extLst>
            </c:dLbl>
            <c:dLbl>
              <c:idx val="2"/>
              <c:layout>
                <c:manualLayout>
                  <c:x val="-3.3507035578886055E-2"/>
                  <c:y val="5.756936632920885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9B3B-4EBC-A105-A621144DBE17}"/>
                </c:ext>
              </c:extLst>
            </c:dLbl>
            <c:dLbl>
              <c:idx val="3"/>
              <c:layout>
                <c:manualLayout>
                  <c:x val="-4.0451480023330419E-2"/>
                  <c:y val="5.360111236095491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9B3B-4EBC-A105-A621144DBE1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51.2</c:v>
                </c:pt>
                <c:pt idx="1">
                  <c:v>55.9</c:v>
                </c:pt>
                <c:pt idx="2">
                  <c:v>52.9</c:v>
                </c:pt>
                <c:pt idx="3">
                  <c:v>54.4</c:v>
                </c:pt>
              </c:numCache>
            </c:numRef>
          </c:val>
          <c:smooth val="0"/>
          <c:extLst>
            <c:ext xmlns:c16="http://schemas.microsoft.com/office/drawing/2014/chart" uri="{C3380CC4-5D6E-409C-BE32-E72D297353CC}">
              <c16:uniqueId val="{00000001-9B3B-4EBC-A105-A621144DBE17}"/>
            </c:ext>
          </c:extLst>
        </c:ser>
        <c:dLbls>
          <c:dLblPos val="t"/>
          <c:showLegendKey val="0"/>
          <c:showVal val="1"/>
          <c:showCatName val="0"/>
          <c:showSerName val="0"/>
          <c:showPercent val="0"/>
          <c:showBubbleSize val="0"/>
        </c:dLbls>
        <c:marker val="1"/>
        <c:smooth val="0"/>
        <c:axId val="774075631"/>
        <c:axId val="760312335"/>
      </c:lineChart>
      <c:catAx>
        <c:axId val="77407563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0312335"/>
        <c:crosses val="autoZero"/>
        <c:auto val="1"/>
        <c:lblAlgn val="ctr"/>
        <c:lblOffset val="100"/>
        <c:noMultiLvlLbl val="0"/>
      </c:catAx>
      <c:valAx>
        <c:axId val="760312335"/>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77407563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a:t>
            </a:r>
            <a:r>
              <a:rPr lang="en-GB" baseline="0"/>
              <a:t> staff % 2018-2021</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26.2</c:v>
                </c:pt>
                <c:pt idx="1">
                  <c:v>23.9</c:v>
                </c:pt>
                <c:pt idx="2">
                  <c:v>24.1</c:v>
                </c:pt>
                <c:pt idx="3">
                  <c:v>20.8</c:v>
                </c:pt>
              </c:numCache>
            </c:numRef>
          </c:val>
          <c:smooth val="0"/>
          <c:extLst>
            <c:ext xmlns:c16="http://schemas.microsoft.com/office/drawing/2014/chart" uri="{C3380CC4-5D6E-409C-BE32-E72D297353CC}">
              <c16:uniqueId val="{00000000-83A9-4BFE-AFD7-2F9358E00889}"/>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3.582185039370079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3A9-4BFE-AFD7-2F9358E00889}"/>
                </c:ext>
              </c:extLst>
            </c:dLbl>
            <c:dLbl>
              <c:idx val="1"/>
              <c:layout>
                <c:manualLayout>
                  <c:x val="-3.582185039370079E-2"/>
                  <c:y val="6.94741282339707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3A9-4BFE-AFD7-2F9358E00889}"/>
                </c:ext>
              </c:extLst>
            </c:dLbl>
            <c:dLbl>
              <c:idx val="2"/>
              <c:layout>
                <c:manualLayout>
                  <c:x val="-3.3507035578886055E-2"/>
                  <c:y val="5.756936632920885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3A9-4BFE-AFD7-2F9358E00889}"/>
                </c:ext>
              </c:extLst>
            </c:dLbl>
            <c:dLbl>
              <c:idx val="3"/>
              <c:layout>
                <c:manualLayout>
                  <c:x val="-4.2766294838145404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3A9-4BFE-AFD7-2F9358E0088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23.9</c:v>
                </c:pt>
                <c:pt idx="1">
                  <c:v>23.8</c:v>
                </c:pt>
                <c:pt idx="2">
                  <c:v>22.5</c:v>
                </c:pt>
                <c:pt idx="3">
                  <c:v>18.2</c:v>
                </c:pt>
              </c:numCache>
            </c:numRef>
          </c:val>
          <c:smooth val="0"/>
          <c:extLst>
            <c:ext xmlns:c16="http://schemas.microsoft.com/office/drawing/2014/chart" uri="{C3380CC4-5D6E-409C-BE32-E72D297353CC}">
              <c16:uniqueId val="{00000001-83A9-4BFE-AFD7-2F9358E00889}"/>
            </c:ext>
          </c:extLst>
        </c:ser>
        <c:dLbls>
          <c:dLblPos val="t"/>
          <c:showLegendKey val="0"/>
          <c:showVal val="1"/>
          <c:showCatName val="0"/>
          <c:showSerName val="0"/>
          <c:showPercent val="0"/>
          <c:showBubbleSize val="0"/>
        </c:dLbls>
        <c:marker val="1"/>
        <c:smooth val="0"/>
        <c:axId val="1985476944"/>
        <c:axId val="1995113808"/>
      </c:lineChart>
      <c:catAx>
        <c:axId val="19854769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95113808"/>
        <c:crosses val="autoZero"/>
        <c:auto val="1"/>
        <c:lblAlgn val="ctr"/>
        <c:lblOffset val="100"/>
        <c:noMultiLvlLbl val="0"/>
      </c:catAx>
      <c:valAx>
        <c:axId val="1995113808"/>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9854769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SPFT staff</a:t>
            </a:r>
            <a:r>
              <a:rPr lang="en-GB" baseline="0"/>
              <a:t> % 2018-2021</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Non-disabled</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3"/>
              <c:layout>
                <c:manualLayout>
                  <c:x val="-3.0231481481481481E-2"/>
                  <c:y val="5.756936632920885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314-494E-89BA-22DBC817BA3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14.9</c:v>
                </c:pt>
                <c:pt idx="1">
                  <c:v>12</c:v>
                </c:pt>
                <c:pt idx="2">
                  <c:v>14.7</c:v>
                </c:pt>
                <c:pt idx="3">
                  <c:v>16</c:v>
                </c:pt>
              </c:numCache>
            </c:numRef>
          </c:val>
          <c:smooth val="0"/>
          <c:extLst>
            <c:ext xmlns:c16="http://schemas.microsoft.com/office/drawing/2014/chart" uri="{C3380CC4-5D6E-409C-BE32-E72D297353CC}">
              <c16:uniqueId val="{00000000-9314-494E-89BA-22DBC817BA33}"/>
            </c:ext>
          </c:extLst>
        </c:ser>
        <c:ser>
          <c:idx val="1"/>
          <c:order val="1"/>
          <c:tx>
            <c:strRef>
              <c:f>Sheet1!$C$1</c:f>
              <c:strCache>
                <c:ptCount val="1"/>
                <c:pt idx="0">
                  <c:v>Disabled</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23.9</c:v>
                </c:pt>
                <c:pt idx="1">
                  <c:v>23.8</c:v>
                </c:pt>
                <c:pt idx="2">
                  <c:v>22.5</c:v>
                </c:pt>
                <c:pt idx="3">
                  <c:v>18.2</c:v>
                </c:pt>
              </c:numCache>
            </c:numRef>
          </c:val>
          <c:smooth val="0"/>
          <c:extLst>
            <c:ext xmlns:c16="http://schemas.microsoft.com/office/drawing/2014/chart" uri="{C3380CC4-5D6E-409C-BE32-E72D297353CC}">
              <c16:uniqueId val="{00000001-9314-494E-89BA-22DBC817BA33}"/>
            </c:ext>
          </c:extLst>
        </c:ser>
        <c:dLbls>
          <c:dLblPos val="t"/>
          <c:showLegendKey val="0"/>
          <c:showVal val="1"/>
          <c:showCatName val="0"/>
          <c:showSerName val="0"/>
          <c:showPercent val="0"/>
          <c:showBubbleSize val="0"/>
        </c:dLbls>
        <c:marker val="1"/>
        <c:smooth val="0"/>
        <c:axId val="1877825968"/>
        <c:axId val="1995104240"/>
      </c:lineChart>
      <c:catAx>
        <c:axId val="18778259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95104240"/>
        <c:crosses val="autoZero"/>
        <c:auto val="1"/>
        <c:lblAlgn val="ctr"/>
        <c:lblOffset val="100"/>
        <c:noMultiLvlLbl val="0"/>
      </c:catAx>
      <c:valAx>
        <c:axId val="1995104240"/>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8778259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 staff</a:t>
            </a:r>
            <a:r>
              <a:rPr lang="en-GB" baseline="0"/>
              <a:t> % 2018-2021</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3.3507035578885971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5B2-4E8B-9122-6E87524D37F2}"/>
                </c:ext>
              </c:extLst>
            </c:dLbl>
            <c:dLbl>
              <c:idx val="1"/>
              <c:layout>
                <c:manualLayout>
                  <c:x val="-2.8877405949256387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C5B2-4E8B-9122-6E87524D37F2}"/>
                </c:ext>
              </c:extLst>
            </c:dLbl>
            <c:dLbl>
              <c:idx val="2"/>
              <c:layout>
                <c:manualLayout>
                  <c:x val="-3.5821850393700873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5B2-4E8B-9122-6E87524D37F2}"/>
                </c:ext>
              </c:extLst>
            </c:dLbl>
            <c:dLbl>
              <c:idx val="3"/>
              <c:layout>
                <c:manualLayout>
                  <c:x val="-4.0451480023330419E-2"/>
                  <c:y val="4.169635045619297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C5B2-4E8B-9122-6E87524D37F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38.5</c:v>
                </c:pt>
                <c:pt idx="1">
                  <c:v>41.6</c:v>
                </c:pt>
                <c:pt idx="2">
                  <c:v>44.6</c:v>
                </c:pt>
                <c:pt idx="3">
                  <c:v>43.6</c:v>
                </c:pt>
              </c:numCache>
            </c:numRef>
          </c:val>
          <c:smooth val="0"/>
          <c:extLst>
            <c:ext xmlns:c16="http://schemas.microsoft.com/office/drawing/2014/chart" uri="{C3380CC4-5D6E-409C-BE32-E72D297353CC}">
              <c16:uniqueId val="{00000000-C5B2-4E8B-9122-6E87524D37F2}"/>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44.6</c:v>
                </c:pt>
                <c:pt idx="1">
                  <c:v>47.9</c:v>
                </c:pt>
                <c:pt idx="2">
                  <c:v>50.2</c:v>
                </c:pt>
                <c:pt idx="3">
                  <c:v>50.4</c:v>
                </c:pt>
              </c:numCache>
            </c:numRef>
          </c:val>
          <c:smooth val="0"/>
          <c:extLst>
            <c:ext xmlns:c16="http://schemas.microsoft.com/office/drawing/2014/chart" uri="{C3380CC4-5D6E-409C-BE32-E72D297353CC}">
              <c16:uniqueId val="{00000001-C5B2-4E8B-9122-6E87524D37F2}"/>
            </c:ext>
          </c:extLst>
        </c:ser>
        <c:dLbls>
          <c:dLblPos val="t"/>
          <c:showLegendKey val="0"/>
          <c:showVal val="1"/>
          <c:showCatName val="0"/>
          <c:showSerName val="0"/>
          <c:showPercent val="0"/>
          <c:showBubbleSize val="0"/>
        </c:dLbls>
        <c:marker val="1"/>
        <c:smooth val="0"/>
        <c:axId val="768094303"/>
        <c:axId val="760318575"/>
      </c:lineChart>
      <c:catAx>
        <c:axId val="76809430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0318575"/>
        <c:crosses val="autoZero"/>
        <c:auto val="1"/>
        <c:lblAlgn val="ctr"/>
        <c:lblOffset val="100"/>
        <c:noMultiLvlLbl val="0"/>
      </c:catAx>
      <c:valAx>
        <c:axId val="760318575"/>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76809430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SPFT</a:t>
            </a:r>
            <a:r>
              <a:rPr lang="en-GB" baseline="0"/>
              <a:t> staff % 2018-2021</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Non-disabled</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54.3</c:v>
                </c:pt>
                <c:pt idx="1">
                  <c:v>57.8</c:v>
                </c:pt>
                <c:pt idx="2">
                  <c:v>58.3</c:v>
                </c:pt>
                <c:pt idx="3">
                  <c:v>56.5</c:v>
                </c:pt>
              </c:numCache>
            </c:numRef>
          </c:val>
          <c:smooth val="0"/>
          <c:extLst>
            <c:ext xmlns:c16="http://schemas.microsoft.com/office/drawing/2014/chart" uri="{C3380CC4-5D6E-409C-BE32-E72D297353CC}">
              <c16:uniqueId val="{00000000-56BC-4CA3-9171-ACE0B414B04E}"/>
            </c:ext>
          </c:extLst>
        </c:ser>
        <c:ser>
          <c:idx val="1"/>
          <c:order val="1"/>
          <c:tx>
            <c:strRef>
              <c:f>Sheet1!$C$1</c:f>
              <c:strCache>
                <c:ptCount val="1"/>
                <c:pt idx="0">
                  <c:v>Disabled</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3.1192220764071157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56BC-4CA3-9171-ACE0B414B04E}"/>
                </c:ext>
              </c:extLst>
            </c:dLbl>
            <c:dLbl>
              <c:idx val="1"/>
              <c:layout>
                <c:manualLayout>
                  <c:x val="-2.6562591134441569E-2"/>
                  <c:y val="4.963285839270083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6BC-4CA3-9171-ACE0B414B04E}"/>
                </c:ext>
              </c:extLst>
            </c:dLbl>
            <c:dLbl>
              <c:idx val="2"/>
              <c:layout>
                <c:manualLayout>
                  <c:x val="-3.1192220764071243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6BC-4CA3-9171-ACE0B414B04E}"/>
                </c:ext>
              </c:extLst>
            </c:dLbl>
            <c:dLbl>
              <c:idx val="3"/>
              <c:layout>
                <c:manualLayout>
                  <c:x val="-3.582185039370079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6BC-4CA3-9171-ACE0B414B04E}"/>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44.6</c:v>
                </c:pt>
                <c:pt idx="1">
                  <c:v>47.9</c:v>
                </c:pt>
                <c:pt idx="2">
                  <c:v>50.2</c:v>
                </c:pt>
                <c:pt idx="3">
                  <c:v>50.4</c:v>
                </c:pt>
              </c:numCache>
            </c:numRef>
          </c:val>
          <c:smooth val="0"/>
          <c:extLst>
            <c:ext xmlns:c16="http://schemas.microsoft.com/office/drawing/2014/chart" uri="{C3380CC4-5D6E-409C-BE32-E72D297353CC}">
              <c16:uniqueId val="{00000001-56BC-4CA3-9171-ACE0B414B04E}"/>
            </c:ext>
          </c:extLst>
        </c:ser>
        <c:dLbls>
          <c:dLblPos val="t"/>
          <c:showLegendKey val="0"/>
          <c:showVal val="1"/>
          <c:showCatName val="0"/>
          <c:showSerName val="0"/>
          <c:showPercent val="0"/>
          <c:showBubbleSize val="0"/>
        </c:dLbls>
        <c:marker val="1"/>
        <c:smooth val="0"/>
        <c:axId val="775633183"/>
        <c:axId val="776270687"/>
      </c:lineChart>
      <c:catAx>
        <c:axId val="77563318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76270687"/>
        <c:crosses val="autoZero"/>
        <c:auto val="1"/>
        <c:lblAlgn val="ctr"/>
        <c:lblOffset val="100"/>
        <c:noMultiLvlLbl val="0"/>
      </c:catAx>
      <c:valAx>
        <c:axId val="776270687"/>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77563318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 staff % 2018-2021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2.8877405949256363E-2"/>
                  <c:y val="6.550587426571685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C3A2-4145-88D7-A74F6D86D994}"/>
                </c:ext>
              </c:extLst>
            </c:dLbl>
            <c:dLbl>
              <c:idx val="1"/>
              <c:layout>
                <c:manualLayout>
                  <c:x val="-3.8136665208515601E-2"/>
                  <c:y val="5.360111236095495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C3A2-4145-88D7-A74F6D86D994}"/>
                </c:ext>
              </c:extLst>
            </c:dLbl>
            <c:dLbl>
              <c:idx val="2"/>
              <c:layout>
                <c:manualLayout>
                  <c:x val="-3.3507035578886055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3A2-4145-88D7-A74F6D86D994}"/>
                </c:ext>
              </c:extLst>
            </c:dLbl>
            <c:dLbl>
              <c:idx val="3"/>
              <c:layout>
                <c:manualLayout>
                  <c:x val="-3.582185039370079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C3A2-4145-88D7-A74F6D86D99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77.3</c:v>
                </c:pt>
                <c:pt idx="1">
                  <c:v>76.900000000000006</c:v>
                </c:pt>
                <c:pt idx="2">
                  <c:v>81.400000000000006</c:v>
                </c:pt>
                <c:pt idx="3">
                  <c:v>78.8</c:v>
                </c:pt>
              </c:numCache>
            </c:numRef>
          </c:val>
          <c:smooth val="0"/>
          <c:extLst>
            <c:ext xmlns:c16="http://schemas.microsoft.com/office/drawing/2014/chart" uri="{C3380CC4-5D6E-409C-BE32-E72D297353CC}">
              <c16:uniqueId val="{00000000-C3A2-4145-88D7-A74F6D86D994}"/>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5.2025554097404489E-2"/>
                  <c:y val="-6.147825271841019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3A2-4145-88D7-A74F6D86D99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77.3</c:v>
                </c:pt>
                <c:pt idx="1">
                  <c:v>79.8</c:v>
                </c:pt>
                <c:pt idx="2">
                  <c:v>82.6</c:v>
                </c:pt>
                <c:pt idx="3">
                  <c:v>83.2</c:v>
                </c:pt>
              </c:numCache>
            </c:numRef>
          </c:val>
          <c:smooth val="0"/>
          <c:extLst>
            <c:ext xmlns:c16="http://schemas.microsoft.com/office/drawing/2014/chart" uri="{C3380CC4-5D6E-409C-BE32-E72D297353CC}">
              <c16:uniqueId val="{00000001-C3A2-4145-88D7-A74F6D86D994}"/>
            </c:ext>
          </c:extLst>
        </c:ser>
        <c:dLbls>
          <c:dLblPos val="t"/>
          <c:showLegendKey val="0"/>
          <c:showVal val="1"/>
          <c:showCatName val="0"/>
          <c:showSerName val="0"/>
          <c:showPercent val="0"/>
          <c:showBubbleSize val="0"/>
        </c:dLbls>
        <c:marker val="1"/>
        <c:smooth val="0"/>
        <c:axId val="765211375"/>
        <c:axId val="1079673471"/>
      </c:lineChart>
      <c:catAx>
        <c:axId val="76521137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9673471"/>
        <c:crosses val="autoZero"/>
        <c:auto val="1"/>
        <c:lblAlgn val="ctr"/>
        <c:lblOffset val="100"/>
        <c:noMultiLvlLbl val="0"/>
      </c:catAx>
      <c:valAx>
        <c:axId val="1079673471"/>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76521137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Disabled staff engagement</a:t>
            </a:r>
            <a:r>
              <a:rPr lang="en-GB" baseline="0"/>
              <a:t> score 2018-2021</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6.7</c:v>
                </c:pt>
                <c:pt idx="1">
                  <c:v>6.7</c:v>
                </c:pt>
                <c:pt idx="2">
                  <c:v>6.8</c:v>
                </c:pt>
                <c:pt idx="3">
                  <c:v>6.7</c:v>
                </c:pt>
              </c:numCache>
            </c:numRef>
          </c:val>
          <c:smooth val="0"/>
          <c:extLst>
            <c:ext xmlns:c16="http://schemas.microsoft.com/office/drawing/2014/chart" uri="{C3380CC4-5D6E-409C-BE32-E72D297353CC}">
              <c16:uniqueId val="{00000000-F174-4A0F-9308-5B444D4E3621}"/>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6.9</c:v>
                </c:pt>
                <c:pt idx="1">
                  <c:v>6.8</c:v>
                </c:pt>
                <c:pt idx="2">
                  <c:v>7</c:v>
                </c:pt>
                <c:pt idx="3">
                  <c:v>6.8</c:v>
                </c:pt>
              </c:numCache>
            </c:numRef>
          </c:val>
          <c:smooth val="0"/>
          <c:extLst>
            <c:ext xmlns:c16="http://schemas.microsoft.com/office/drawing/2014/chart" uri="{C3380CC4-5D6E-409C-BE32-E72D297353CC}">
              <c16:uniqueId val="{00000001-F174-4A0F-9308-5B444D4E3621}"/>
            </c:ext>
          </c:extLst>
        </c:ser>
        <c:dLbls>
          <c:dLblPos val="t"/>
          <c:showLegendKey val="0"/>
          <c:showVal val="1"/>
          <c:showCatName val="0"/>
          <c:showSerName val="0"/>
          <c:showPercent val="0"/>
          <c:showBubbleSize val="0"/>
        </c:dLbls>
        <c:marker val="1"/>
        <c:smooth val="0"/>
        <c:axId val="775635983"/>
        <c:axId val="997746239"/>
      </c:lineChart>
      <c:catAx>
        <c:axId val="77563598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97746239"/>
        <c:crosses val="autoZero"/>
        <c:auto val="1"/>
        <c:lblAlgn val="ctr"/>
        <c:lblOffset val="100"/>
        <c:noMultiLvlLbl val="0"/>
      </c:catAx>
      <c:valAx>
        <c:axId val="997746239"/>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77563598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SPFT staff engagement score 2018-2021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Non-disabled</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7.1</c:v>
                </c:pt>
                <c:pt idx="1">
                  <c:v>7.1</c:v>
                </c:pt>
                <c:pt idx="2">
                  <c:v>7.2</c:v>
                </c:pt>
                <c:pt idx="3">
                  <c:v>7.1</c:v>
                </c:pt>
              </c:numCache>
            </c:numRef>
          </c:val>
          <c:smooth val="0"/>
          <c:extLst>
            <c:ext xmlns:c16="http://schemas.microsoft.com/office/drawing/2014/chart" uri="{C3380CC4-5D6E-409C-BE32-E72D297353CC}">
              <c16:uniqueId val="{00000000-2580-43B4-9600-6B619C051073}"/>
            </c:ext>
          </c:extLst>
        </c:ser>
        <c:ser>
          <c:idx val="1"/>
          <c:order val="1"/>
          <c:tx>
            <c:strRef>
              <c:f>Sheet1!$C$1</c:f>
              <c:strCache>
                <c:ptCount val="1"/>
                <c:pt idx="0">
                  <c:v>Disabled</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6.9</c:v>
                </c:pt>
                <c:pt idx="1">
                  <c:v>6.8</c:v>
                </c:pt>
                <c:pt idx="2">
                  <c:v>7</c:v>
                </c:pt>
                <c:pt idx="3">
                  <c:v>6.8</c:v>
                </c:pt>
              </c:numCache>
            </c:numRef>
          </c:val>
          <c:smooth val="0"/>
          <c:extLst>
            <c:ext xmlns:c16="http://schemas.microsoft.com/office/drawing/2014/chart" uri="{C3380CC4-5D6E-409C-BE32-E72D297353CC}">
              <c16:uniqueId val="{00000001-2580-43B4-9600-6B619C051073}"/>
            </c:ext>
          </c:extLst>
        </c:ser>
        <c:dLbls>
          <c:dLblPos val="t"/>
          <c:showLegendKey val="0"/>
          <c:showVal val="1"/>
          <c:showCatName val="0"/>
          <c:showSerName val="0"/>
          <c:showPercent val="0"/>
          <c:showBubbleSize val="0"/>
        </c:dLbls>
        <c:marker val="1"/>
        <c:smooth val="0"/>
        <c:axId val="997125951"/>
        <c:axId val="1079676799"/>
      </c:lineChart>
      <c:catAx>
        <c:axId val="99712595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79676799"/>
        <c:crosses val="autoZero"/>
        <c:auto val="1"/>
        <c:lblAlgn val="ctr"/>
        <c:lblOffset val="100"/>
        <c:noMultiLvlLbl val="0"/>
      </c:catAx>
      <c:valAx>
        <c:axId val="1079676799"/>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99712595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Board %</a:t>
            </a:r>
            <a:r>
              <a:rPr lang="en-GB" baseline="0"/>
              <a:t> breakdown 2022</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percentStacked"/>
        <c:varyColors val="0"/>
        <c:ser>
          <c:idx val="0"/>
          <c:order val="0"/>
          <c:tx>
            <c:strRef>
              <c:f>Sheet1!$B$1</c:f>
              <c:strCache>
                <c:ptCount val="1"/>
                <c:pt idx="0">
                  <c:v>Disabled</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Workforce</c:v>
                </c:pt>
                <c:pt idx="1">
                  <c:v>Board</c:v>
                </c:pt>
                <c:pt idx="2">
                  <c:v>Voting membership</c:v>
                </c:pt>
                <c:pt idx="3">
                  <c:v>Executive membership</c:v>
                </c:pt>
              </c:strCache>
            </c:strRef>
          </c:cat>
          <c:val>
            <c:numRef>
              <c:f>Sheet1!$B$2:$B$5</c:f>
              <c:numCache>
                <c:formatCode>General</c:formatCode>
                <c:ptCount val="4"/>
                <c:pt idx="0">
                  <c:v>10.43</c:v>
                </c:pt>
                <c:pt idx="1">
                  <c:v>0</c:v>
                </c:pt>
                <c:pt idx="2">
                  <c:v>0</c:v>
                </c:pt>
                <c:pt idx="3">
                  <c:v>0</c:v>
                </c:pt>
              </c:numCache>
            </c:numRef>
          </c:val>
          <c:extLst>
            <c:ext xmlns:c16="http://schemas.microsoft.com/office/drawing/2014/chart" uri="{C3380CC4-5D6E-409C-BE32-E72D297353CC}">
              <c16:uniqueId val="{00000000-7700-4D61-99CF-1437D9AC7E2D}"/>
            </c:ext>
          </c:extLst>
        </c:ser>
        <c:ser>
          <c:idx val="1"/>
          <c:order val="1"/>
          <c:tx>
            <c:strRef>
              <c:f>Sheet1!$C$1</c:f>
              <c:strCache>
                <c:ptCount val="1"/>
                <c:pt idx="0">
                  <c:v>Non-disabled</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Workforce</c:v>
                </c:pt>
                <c:pt idx="1">
                  <c:v>Board</c:v>
                </c:pt>
                <c:pt idx="2">
                  <c:v>Voting membership</c:v>
                </c:pt>
                <c:pt idx="3">
                  <c:v>Executive membership</c:v>
                </c:pt>
              </c:strCache>
            </c:strRef>
          </c:cat>
          <c:val>
            <c:numRef>
              <c:f>Sheet1!$C$2:$C$5</c:f>
              <c:numCache>
                <c:formatCode>General</c:formatCode>
                <c:ptCount val="4"/>
                <c:pt idx="0">
                  <c:v>78.8</c:v>
                </c:pt>
                <c:pt idx="1">
                  <c:v>76.47</c:v>
                </c:pt>
                <c:pt idx="2">
                  <c:v>76.92</c:v>
                </c:pt>
                <c:pt idx="3">
                  <c:v>66.67</c:v>
                </c:pt>
              </c:numCache>
            </c:numRef>
          </c:val>
          <c:extLst>
            <c:ext xmlns:c16="http://schemas.microsoft.com/office/drawing/2014/chart" uri="{C3380CC4-5D6E-409C-BE32-E72D297353CC}">
              <c16:uniqueId val="{00000001-7700-4D61-99CF-1437D9AC7E2D}"/>
            </c:ext>
          </c:extLst>
        </c:ser>
        <c:ser>
          <c:idx val="2"/>
          <c:order val="2"/>
          <c:tx>
            <c:strRef>
              <c:f>Sheet1!$D$1</c:f>
              <c:strCache>
                <c:ptCount val="1"/>
                <c:pt idx="0">
                  <c:v>Unknown</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Workforce</c:v>
                </c:pt>
                <c:pt idx="1">
                  <c:v>Board</c:v>
                </c:pt>
                <c:pt idx="2">
                  <c:v>Voting membership</c:v>
                </c:pt>
                <c:pt idx="3">
                  <c:v>Executive membership</c:v>
                </c:pt>
              </c:strCache>
            </c:strRef>
          </c:cat>
          <c:val>
            <c:numRef>
              <c:f>Sheet1!$D$2:$D$5</c:f>
              <c:numCache>
                <c:formatCode>General</c:formatCode>
                <c:ptCount val="4"/>
                <c:pt idx="0">
                  <c:v>10.77</c:v>
                </c:pt>
                <c:pt idx="1">
                  <c:v>23.53</c:v>
                </c:pt>
                <c:pt idx="2">
                  <c:v>23.08</c:v>
                </c:pt>
                <c:pt idx="3">
                  <c:v>33.33</c:v>
                </c:pt>
              </c:numCache>
            </c:numRef>
          </c:val>
          <c:extLst>
            <c:ext xmlns:c16="http://schemas.microsoft.com/office/drawing/2014/chart" uri="{C3380CC4-5D6E-409C-BE32-E72D297353CC}">
              <c16:uniqueId val="{00000002-7700-4D61-99CF-1437D9AC7E2D}"/>
            </c:ext>
          </c:extLst>
        </c:ser>
        <c:dLbls>
          <c:dLblPos val="ctr"/>
          <c:showLegendKey val="0"/>
          <c:showVal val="1"/>
          <c:showCatName val="0"/>
          <c:showSerName val="0"/>
          <c:showPercent val="0"/>
          <c:showBubbleSize val="0"/>
        </c:dLbls>
        <c:gapWidth val="150"/>
        <c:overlap val="100"/>
        <c:axId val="1408903599"/>
        <c:axId val="1416729071"/>
      </c:barChart>
      <c:catAx>
        <c:axId val="140890359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16729071"/>
        <c:crosses val="autoZero"/>
        <c:auto val="1"/>
        <c:lblAlgn val="ctr"/>
        <c:lblOffset val="100"/>
        <c:noMultiLvlLbl val="0"/>
      </c:catAx>
      <c:valAx>
        <c:axId val="1416729071"/>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140890359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2297</TotalTime>
  <Pages>19</Pages>
  <Words>3173</Words>
  <Characters>18092</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MENDES DA COSTA, Emma (SPFT)</dc:creator>
  <cp:keywords/>
  <dc:description/>
  <cp:lastModifiedBy>MENDES DA COSTA, Emma (SPFT)</cp:lastModifiedBy>
  <cp:revision>89</cp:revision>
  <dcterms:created xsi:type="dcterms:W3CDTF">2022-08-31T10:44:00Z</dcterms:created>
  <dcterms:modified xsi:type="dcterms:W3CDTF">2022-10-12T16:29:00Z</dcterms:modified>
</cp:coreProperties>
</file>